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fallecimiento.</w:t>
      </w:r>
    </w:p>
    <w:p>
      <w:pPr>
        <w:jc w:val="both"/>
      </w:pPr>
      <w:r>
        <w:t>La operación corresponde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Nombre del cliente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Documento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Nacimiento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Capital Asegurado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Costo del Seguro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</w:tr>
      <w:tr>
        <w:tc>
          <w:tcPr>
            <w:tcW w:type="dxa" w:w="1336"/>
          </w:tcPr>
          <w:p>
            <w:r>
              <w:rPr>
                <w:sz w:val="18"/>
              </w:rPr>
              <w:t>GIMENEZ INSFRAN, RICHARD DANIEL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4339867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06/02/1991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35.524.524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2.942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31/07/2023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8211427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