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1D8E9" w14:textId="77777777"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716B4745"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9A2019" w14:textId="77777777" w:rsidR="00252015" w:rsidRDefault="00252015" w:rsidP="00252015">
      <w:pPr>
        <w:pStyle w:val="Description"/>
      </w:pPr>
    </w:p>
    <w:p w14:paraId="22CE26A4" w14:textId="77777777" w:rsidR="00A642AE" w:rsidRPr="003D660F" w:rsidRDefault="00A642AE" w:rsidP="002856B1">
      <w:pPr>
        <w:pStyle w:val="Description"/>
      </w:pPr>
    </w:p>
    <w:p w14:paraId="59AD26F6" w14:textId="77777777" w:rsidR="00E127C6" w:rsidRDefault="00A642AE" w:rsidP="00A642AE">
      <w:pPr>
        <w:pStyle w:val="Subtitle"/>
      </w:pPr>
      <w:r w:rsidRPr="00A642AE">
        <w:t>[</w:t>
      </w:r>
      <w:r w:rsidR="002A5F18">
        <w:t>ΕΤΑΙΡΙΕΣ ΠΑΡΑΓΩΓΗΣ ΗΛΕΚΤΡΙΚΗΣ ΕΝΕΡΓΕΙΑΣ</w:t>
      </w:r>
      <w:r w:rsidR="00E127C6">
        <w:t>]</w:t>
      </w:r>
    </w:p>
    <w:p w14:paraId="62BC8CD9" w14:textId="77777777" w:rsidR="00C519A1" w:rsidRPr="00515616" w:rsidRDefault="00C519A1" w:rsidP="004276A5">
      <w:pPr>
        <w:pStyle w:val="Heading1"/>
      </w:pPr>
      <w:r w:rsidRPr="00A10F7D">
        <w:t>Εισαγωγή</w:t>
      </w:r>
    </w:p>
    <w:p w14:paraId="767446BB" w14:textId="77777777" w:rsidR="00C519A1" w:rsidRPr="00A10F7D" w:rsidRDefault="00BE4961" w:rsidP="00BE4961">
      <w:pPr>
        <w:pStyle w:val="Heading2"/>
      </w:pPr>
      <w:r>
        <w:t>1.1</w:t>
      </w:r>
      <w:r>
        <w:tab/>
      </w:r>
      <w:r w:rsidR="001E6AA0">
        <w:t>Ταυτότητα - επιχειρησιακοί στόχοι</w:t>
      </w:r>
    </w:p>
    <w:p w14:paraId="65CA7555" w14:textId="3DC856DD" w:rsidR="00E9234A" w:rsidRPr="00E9234A" w:rsidRDefault="00E9234A" w:rsidP="009474EB">
      <w:pPr>
        <w:pStyle w:val="Description"/>
        <w:rPr>
          <w:i w:val="0"/>
          <w:color w:val="auto"/>
        </w:rPr>
      </w:pPr>
      <w:r>
        <w:rPr>
          <w:i w:val="0"/>
          <w:color w:val="auto"/>
        </w:rPr>
        <w:t xml:space="preserve">Η απελευθέρωση της αγοράς ηλεκτρικής ενέργειας επιτρέπει πλέον σε πολλούς παρόχους </w:t>
      </w:r>
      <w:r w:rsidR="004E64D6">
        <w:rPr>
          <w:i w:val="0"/>
          <w:color w:val="auto"/>
        </w:rPr>
        <w:t>ν</w:t>
      </w:r>
      <w:r>
        <w:rPr>
          <w:i w:val="0"/>
          <w:color w:val="auto"/>
        </w:rPr>
        <w:t>α διαθέτουν ηλεκτρική ενέργεια για τη φόρτιση οχημάτων. Οι πάροχοι αυτοί είναι δυνητικά πολλοί περισσότεροι από τους ελάχιστους παρόχους υγρών καυσίμων, οπότε και ο ανταγωνισμός μεταξύ τους πολύ μεγαλύτερος.</w:t>
      </w:r>
      <w:r w:rsidR="0099708D" w:rsidRPr="0099708D">
        <w:rPr>
          <w:i w:val="0"/>
          <w:color w:val="auto"/>
        </w:rPr>
        <w:t xml:space="preserve"> </w:t>
      </w:r>
      <w:r w:rsidR="0099708D">
        <w:rPr>
          <w:i w:val="0"/>
          <w:color w:val="auto"/>
        </w:rPr>
        <w:t>Για τον σκοπό αυτό</w:t>
      </w:r>
      <w:r w:rsidR="000A57EE">
        <w:rPr>
          <w:i w:val="0"/>
          <w:color w:val="auto"/>
        </w:rPr>
        <w:t xml:space="preserve">, </w:t>
      </w:r>
      <w:r w:rsidR="0099708D">
        <w:rPr>
          <w:i w:val="0"/>
          <w:color w:val="auto"/>
        </w:rPr>
        <w:t>μ</w:t>
      </w:r>
      <w:r w:rsidR="00B7566D">
        <w:rPr>
          <w:i w:val="0"/>
          <w:color w:val="auto"/>
        </w:rPr>
        <w:t>πορούν να έχουν στατιστικές πληροφορίες και για τους ίδιους τους πελάτες τους ανά περιοχή</w:t>
      </w:r>
      <w:r w:rsidR="000A57EE">
        <w:rPr>
          <w:i w:val="0"/>
          <w:color w:val="auto"/>
        </w:rPr>
        <w:t xml:space="preserve"> και</w:t>
      </w:r>
      <w:r w:rsidR="00910F63">
        <w:rPr>
          <w:i w:val="0"/>
          <w:color w:val="auto"/>
        </w:rPr>
        <w:t xml:space="preserve"> σταθμό</w:t>
      </w:r>
      <w:r w:rsidR="000A57EE">
        <w:rPr>
          <w:i w:val="0"/>
          <w:color w:val="auto"/>
        </w:rPr>
        <w:t xml:space="preserve"> έτσι ώστε να αντιλαμβάνονται και να σχεδιάζουν καλύτερα τα επόμενα βήματα και την τοποθέτησή τους στον ανταγωνιστικό, αλλά και πολλά υποσχόμενο μελλοντικά, αυτόν κλάδο.</w:t>
      </w:r>
      <w:r w:rsidR="00B7566D">
        <w:rPr>
          <w:i w:val="0"/>
          <w:color w:val="auto"/>
        </w:rPr>
        <w:t xml:space="preserve">  </w:t>
      </w:r>
    </w:p>
    <w:p w14:paraId="23043265" w14:textId="77777777" w:rsidR="00C519A1" w:rsidRDefault="00BE4961" w:rsidP="00BE4961">
      <w:pPr>
        <w:pStyle w:val="Heading2"/>
      </w:pPr>
      <w:r>
        <w:t>1.2</w:t>
      </w:r>
      <w:r>
        <w:tab/>
      </w:r>
      <w:r w:rsidR="00E127C6">
        <w:t>Περίγραμμα</w:t>
      </w:r>
      <w:r w:rsidR="00C519A1">
        <w:t xml:space="preserve"> επιχειρησιακών λειτουργιών</w:t>
      </w:r>
    </w:p>
    <w:p w14:paraId="730E1179" w14:textId="77777777" w:rsidR="00156DC9" w:rsidRPr="00156DC9" w:rsidRDefault="00156DC9" w:rsidP="009474EB">
      <w:pPr>
        <w:pStyle w:val="Description"/>
        <w:rPr>
          <w:i w:val="0"/>
          <w:color w:val="auto"/>
        </w:rPr>
      </w:pPr>
      <w:r>
        <w:rPr>
          <w:i w:val="0"/>
          <w:color w:val="auto"/>
        </w:rPr>
        <w:t xml:space="preserve">Κάθε εταιρία ηλεκτρικής ενέργειας θα μπορεί να βλέπει τις τάσεις της αγοράς, να ενημερώνεται για τις πιο ανταγωνιστικές τιμές </w:t>
      </w:r>
      <w:r w:rsidR="00434F31">
        <w:rPr>
          <w:i w:val="0"/>
          <w:color w:val="auto"/>
        </w:rPr>
        <w:t xml:space="preserve">και παρατηρώντας την κίνηση των πιο κερδοφόρων εταιριών στον κλάδο αυτό να προσαρμόζεται κατάλληλα. Παράλληλα, θα μπορεί </w:t>
      </w:r>
      <w:r w:rsidR="00A0584B">
        <w:rPr>
          <w:i w:val="0"/>
          <w:color w:val="auto"/>
        </w:rPr>
        <w:t>να εντοπίσει τους πιο κερδοφόρους σταθμούς φόρτισης ηλεκτρικών οχημάτων, έτσι ώστε στη συνέχεια να επιλέξει με ποιους από αυτούς θα συνεργαστε</w:t>
      </w:r>
      <w:r w:rsidR="006D10DA">
        <w:rPr>
          <w:i w:val="0"/>
          <w:color w:val="auto"/>
        </w:rPr>
        <w:t xml:space="preserve">ί. Τέλος, θα μπορεί να ενημερωθεί για την κατανάλωση ενέργειας, στους διάφορους σταθμούς και περιοχές, ενώ θα μπορεί να λαμβάνει και στατιστικά στοιχεία που αφορούν τους πελάτες της ανά περιοχή και σταθμό. </w:t>
      </w:r>
      <w:r w:rsidR="00840B29">
        <w:rPr>
          <w:i w:val="0"/>
          <w:color w:val="auto"/>
        </w:rPr>
        <w:t xml:space="preserve">Όλα αυτά θα είναι σε θέση να τα παρατηρεί και να τα επεξεργάζεται μέσω μιας εύχρηστης και ευέλικτης σελίδας, η οποία θα περιέχει αναλυτικές αναφορές και διαγράμματα για όσο το δυνατόν ακριβέστερη και κατανοητή αναπαράσταση, ενώ </w:t>
      </w:r>
      <w:r w:rsidR="003A1D6C">
        <w:rPr>
          <w:i w:val="0"/>
          <w:color w:val="auto"/>
        </w:rPr>
        <w:t>θα δίνει τη δυνατότητα και της εμφάνιση στατιστικών με βάση κριτήρια και περιορισμούς που θα μπορούν να δοθούν από την ίδια την εταιρία.</w:t>
      </w:r>
      <w:r w:rsidR="00A0584B">
        <w:rPr>
          <w:i w:val="0"/>
          <w:color w:val="auto"/>
        </w:rPr>
        <w:t xml:space="preserve">   </w:t>
      </w:r>
    </w:p>
    <w:p w14:paraId="7DC1456A" w14:textId="77777777" w:rsidR="00C519A1" w:rsidRDefault="00111202" w:rsidP="004276A5">
      <w:pPr>
        <w:pStyle w:val="Heading1"/>
      </w:pPr>
      <w:r>
        <w:t>Αναφορές</w:t>
      </w:r>
      <w:r w:rsidR="00686E19">
        <w:t xml:space="preserve"> - πηγές πληροφοριών</w:t>
      </w:r>
    </w:p>
    <w:p w14:paraId="7A90FA73" w14:textId="77777777" w:rsidR="00A72D4E" w:rsidRPr="00116BE3" w:rsidRDefault="00116BE3" w:rsidP="00252015">
      <w:pPr>
        <w:pStyle w:val="Description"/>
        <w:rPr>
          <w:i w:val="0"/>
          <w:color w:val="auto"/>
          <w:lang w:val="en-US"/>
        </w:rPr>
      </w:pPr>
      <w:r>
        <w:rPr>
          <w:i w:val="0"/>
          <w:color w:val="auto"/>
          <w:lang w:val="en-US"/>
        </w:rPr>
        <w:t>N/A</w:t>
      </w:r>
    </w:p>
    <w:p w14:paraId="26E5133A" w14:textId="77777777" w:rsidR="00C519A1" w:rsidRPr="00486BEA" w:rsidRDefault="00486BEA" w:rsidP="004276A5">
      <w:pPr>
        <w:pStyle w:val="Heading1"/>
      </w:pPr>
      <w:r>
        <w:t>Λειτουργικές απαιτήσεις επιχειρησιακού περιβάλλοντος</w:t>
      </w:r>
    </w:p>
    <w:p w14:paraId="3D1F5EE1" w14:textId="77777777" w:rsidR="00C519A1" w:rsidRDefault="004B1A74" w:rsidP="00BE4961">
      <w:pPr>
        <w:pStyle w:val="Heading2"/>
      </w:pPr>
      <w:r>
        <w:t>3</w:t>
      </w:r>
      <w:r w:rsidR="00BF22DA">
        <w:t>.1</w:t>
      </w:r>
      <w:r w:rsidR="00BF22DA">
        <w:tab/>
      </w:r>
      <w:r w:rsidR="00486BEA">
        <w:t>Επιχειρησιακές διαδικασίες</w:t>
      </w:r>
    </w:p>
    <w:p w14:paraId="7787AA29" w14:textId="77777777" w:rsidR="00116BE3" w:rsidRDefault="00116BE3" w:rsidP="00116BE3">
      <w:pPr>
        <w:pStyle w:val="Description"/>
        <w:rPr>
          <w:i w:val="0"/>
          <w:color w:val="auto"/>
        </w:rPr>
      </w:pPr>
      <w:r>
        <w:rPr>
          <w:i w:val="0"/>
          <w:color w:val="auto"/>
        </w:rPr>
        <w:t>Οι εταιρίες παραγωγής ηλεκτρικής ενέργειας μπορούν να εισέρχονται στην εφαρμογή</w:t>
      </w:r>
      <w:r w:rsidR="002656FF">
        <w:rPr>
          <w:i w:val="0"/>
          <w:color w:val="auto"/>
        </w:rPr>
        <w:t xml:space="preserve"> και μπορ</w:t>
      </w:r>
      <w:r w:rsidR="00360C34">
        <w:rPr>
          <w:i w:val="0"/>
          <w:color w:val="auto"/>
        </w:rPr>
        <w:t>ούν</w:t>
      </w:r>
      <w:r w:rsidR="002656FF">
        <w:rPr>
          <w:i w:val="0"/>
          <w:color w:val="auto"/>
        </w:rPr>
        <w:t>:</w:t>
      </w:r>
    </w:p>
    <w:p w14:paraId="2A97F197" w14:textId="0CEA91F6" w:rsidR="00360C34" w:rsidRDefault="002656FF" w:rsidP="00360C34">
      <w:pPr>
        <w:pStyle w:val="Description"/>
        <w:numPr>
          <w:ilvl w:val="0"/>
          <w:numId w:val="17"/>
        </w:numPr>
        <w:rPr>
          <w:i w:val="0"/>
          <w:color w:val="auto"/>
        </w:rPr>
      </w:pPr>
      <w:r>
        <w:rPr>
          <w:i w:val="0"/>
          <w:color w:val="auto"/>
        </w:rPr>
        <w:t>να επιλ</w:t>
      </w:r>
      <w:r w:rsidR="00360C34">
        <w:rPr>
          <w:i w:val="0"/>
          <w:color w:val="auto"/>
        </w:rPr>
        <w:t>έξουν να δουν</w:t>
      </w:r>
      <w:r>
        <w:rPr>
          <w:i w:val="0"/>
          <w:color w:val="auto"/>
        </w:rPr>
        <w:t xml:space="preserve"> δεδομένα για τις φορτίσεις που έχουν λάβει χώρα είτε σε αντίστοιχο διάγραμμα είτε ανά περιοχή και σταθμό.</w:t>
      </w:r>
    </w:p>
    <w:p w14:paraId="221BE9BA" w14:textId="77777777" w:rsidR="00360C34" w:rsidRDefault="00360C34" w:rsidP="00360C34">
      <w:pPr>
        <w:pStyle w:val="Description"/>
        <w:numPr>
          <w:ilvl w:val="0"/>
          <w:numId w:val="17"/>
        </w:numPr>
        <w:rPr>
          <w:i w:val="0"/>
          <w:color w:val="auto"/>
        </w:rPr>
      </w:pPr>
      <w:r>
        <w:rPr>
          <w:i w:val="0"/>
          <w:color w:val="auto"/>
        </w:rPr>
        <w:t>να επιλέξουν έναν συγκριμένο σταθμό και μια συγκεκριμένη χρονική περίοδο και να δουν αναλυτικά ή ακόμα και στατιστικά στοιχεία για τις φορτίσεις που έλαβαν χώρα το συγκεκριμένο χρονικό διάστημα και στο συγκεκριμένο σταθμό.</w:t>
      </w:r>
    </w:p>
    <w:p w14:paraId="23E23D11" w14:textId="48E46375" w:rsidR="002656FF" w:rsidRPr="00360C34" w:rsidRDefault="002656FF" w:rsidP="003D660F">
      <w:pPr>
        <w:pStyle w:val="Description"/>
        <w:ind w:left="720"/>
        <w:rPr>
          <w:i w:val="0"/>
          <w:color w:val="auto"/>
        </w:rPr>
      </w:pPr>
    </w:p>
    <w:p w14:paraId="394D8D5E" w14:textId="77777777" w:rsidR="00C519A1" w:rsidRDefault="004B1A74" w:rsidP="00BE4961">
      <w:pPr>
        <w:pStyle w:val="Heading2"/>
      </w:pPr>
      <w:r>
        <w:t>3</w:t>
      </w:r>
      <w:r w:rsidR="00BF22DA">
        <w:t>.</w:t>
      </w:r>
      <w:r w:rsidR="006324B1">
        <w:t>2</w:t>
      </w:r>
      <w:r w:rsidR="00BF22DA">
        <w:tab/>
      </w:r>
      <w:r w:rsidR="00BF22DA">
        <w:tab/>
      </w:r>
      <w:r w:rsidR="00486BEA">
        <w:t>Δείκτες ποιότητας</w:t>
      </w:r>
    </w:p>
    <w:p w14:paraId="6F3520F8" w14:textId="77777777" w:rsidR="00C729E1" w:rsidRPr="00C729E1" w:rsidRDefault="00C729E1" w:rsidP="00C729E1">
      <w:pPr>
        <w:pStyle w:val="Description"/>
        <w:rPr>
          <w:i w:val="0"/>
          <w:color w:val="auto"/>
        </w:rPr>
      </w:pPr>
      <w:r>
        <w:rPr>
          <w:i w:val="0"/>
          <w:color w:val="auto"/>
        </w:rPr>
        <w:t>Για τις εταιρίες παραγωγής ηλεκτρικής ενέργειας δείκτες ποιότητας είναι οι εξής:</w:t>
      </w:r>
      <w:r w:rsidR="00564E51">
        <w:rPr>
          <w:i w:val="0"/>
          <w:color w:val="auto"/>
        </w:rPr>
        <w:t xml:space="preserve"> κατά πόσο</w:t>
      </w:r>
      <w:r w:rsidR="009C1C4D">
        <w:rPr>
          <w:i w:val="0"/>
          <w:color w:val="auto"/>
        </w:rPr>
        <w:t xml:space="preserve"> είναι εύχρηστο το </w:t>
      </w:r>
      <w:r w:rsidR="009C1C4D">
        <w:rPr>
          <w:i w:val="0"/>
          <w:color w:val="auto"/>
          <w:lang w:val="en-US"/>
        </w:rPr>
        <w:t>UI</w:t>
      </w:r>
      <w:r w:rsidR="009C1C4D" w:rsidRPr="009C1C4D">
        <w:rPr>
          <w:i w:val="0"/>
          <w:color w:val="auto"/>
        </w:rPr>
        <w:t xml:space="preserve"> </w:t>
      </w:r>
      <w:r w:rsidR="009C1C4D">
        <w:rPr>
          <w:i w:val="0"/>
          <w:color w:val="auto"/>
        </w:rPr>
        <w:t xml:space="preserve">της εφαρμογής, </w:t>
      </w:r>
      <w:r w:rsidR="007D60D2">
        <w:rPr>
          <w:i w:val="0"/>
          <w:color w:val="auto"/>
        </w:rPr>
        <w:t xml:space="preserve">πόσο γρήγορα αποκρίνεται η εφαρμογή στα αιτήματά τους για αναπαράσταση κατάλληλων αναφορών και διαγραμμάτων, πόσο έγκυρα και πόσο συνεπή με την πραγματικότητα είναι τα δεδομένα που αναπαρίστανται, </w:t>
      </w:r>
      <w:r w:rsidR="00766318">
        <w:rPr>
          <w:i w:val="0"/>
          <w:color w:val="auto"/>
        </w:rPr>
        <w:t xml:space="preserve">πόσο επικαιροποιημένα είναι τα δεδομένα, δηλαδή κατά πόσο περιέχονται πρόσφατες καταχωρήσεις που αναπαριστούν με τον καλύτερο δυνατό τρόπο τις τελευταίες εξελίξεις στην αγορά της φόρτισης ηλεκτρικών οχημάτων και τέλος πόσο ασφαλή είναι τα προσωπικά δεδομένα, δηλαδή κατά πόσο υπάρχει μια αξιόπιστη κρυπτογράφηση των προσωπικών στοιχείων. </w:t>
      </w:r>
      <w:r w:rsidR="007D60D2">
        <w:rPr>
          <w:i w:val="0"/>
          <w:color w:val="auto"/>
        </w:rPr>
        <w:t xml:space="preserve">  </w:t>
      </w:r>
      <w:r w:rsidR="00564E51">
        <w:rPr>
          <w:i w:val="0"/>
          <w:color w:val="auto"/>
        </w:rPr>
        <w:t xml:space="preserve"> </w:t>
      </w:r>
    </w:p>
    <w:p w14:paraId="643EB16B" w14:textId="77777777" w:rsidR="00C519A1" w:rsidRDefault="00772CA3" w:rsidP="004276A5">
      <w:pPr>
        <w:pStyle w:val="Heading1"/>
      </w:pPr>
      <w:r>
        <w:t>Έ</w:t>
      </w:r>
      <w:r w:rsidR="00486BEA">
        <w:t>κθεση απαιτήσεων χρηστών</w:t>
      </w:r>
    </w:p>
    <w:p w14:paraId="5429424B" w14:textId="53333197" w:rsidR="00791750" w:rsidRPr="00C729E1" w:rsidRDefault="003D660F" w:rsidP="00791750">
      <w:pPr>
        <w:pStyle w:val="Description"/>
        <w:rPr>
          <w:i w:val="0"/>
          <w:color w:val="auto"/>
        </w:rPr>
      </w:pPr>
      <w:r>
        <w:rPr>
          <w:i w:val="0"/>
          <w:color w:val="auto"/>
        </w:rPr>
        <w:t xml:space="preserve">Οι εταιρίες παραγωγής ηλεκτρικής ενέργειας </w:t>
      </w:r>
      <w:r w:rsidR="00965EDE">
        <w:rPr>
          <w:i w:val="0"/>
          <w:color w:val="auto"/>
        </w:rPr>
        <w:t>θέλουν μια αξιόπιστη και συνεχή λειτουργία της εφαρμογής , με μια δομημένη εξαγωγή αποτελεσμάτων και στοιχείων, έτσι ώστε να μπορούν να διατεθούν σε αυτές για προσωπική χρήση και επεξεργασία.</w:t>
      </w:r>
      <w:r w:rsidR="00533777">
        <w:rPr>
          <w:i w:val="0"/>
          <w:color w:val="auto"/>
        </w:rPr>
        <w:t xml:space="preserve"> Πιο αναλυτικά, θέλουν επιλογές διάκρισης και αναπαράστασης συγκεκριμένων στοιχείων κάθε φορά με βάση διαφορετικά κριτήρια, ενώ θέλουν και μια καλή οπτικοποίηση και ακριβή διαγραμματική αναπαράσταση αυτών</w:t>
      </w:r>
      <w:r w:rsidR="00FD0C7D">
        <w:rPr>
          <w:i w:val="0"/>
          <w:color w:val="auto"/>
        </w:rPr>
        <w:t xml:space="preserve"> που μπορεί παράλληλα εύκολα να γίνει κατανοητή.</w:t>
      </w:r>
      <w:r w:rsidR="00533777">
        <w:rPr>
          <w:i w:val="0"/>
          <w:color w:val="auto"/>
        </w:rPr>
        <w:t xml:space="preserve"> </w:t>
      </w:r>
    </w:p>
    <w:p w14:paraId="4DE10AB7" w14:textId="77777777" w:rsidR="00C519A1" w:rsidRPr="00486BEA" w:rsidRDefault="00486BEA" w:rsidP="004276A5">
      <w:pPr>
        <w:pStyle w:val="Heading1"/>
      </w:pPr>
      <w:r>
        <w:t>Αρχές του προτεινόμενου συστήματος</w:t>
      </w:r>
    </w:p>
    <w:p w14:paraId="4D64F5A8" w14:textId="77D27320" w:rsidR="00B7561A" w:rsidRPr="00B7561A" w:rsidRDefault="00B7561A" w:rsidP="00B7561A">
      <w:pPr>
        <w:pStyle w:val="Description"/>
        <w:rPr>
          <w:b/>
          <w:i w:val="0"/>
          <w:color w:val="auto"/>
        </w:rPr>
      </w:pPr>
      <w:r>
        <w:rPr>
          <w:i w:val="0"/>
          <w:color w:val="auto"/>
        </w:rPr>
        <w:t>Αρχές του προτεινόμενου συστήματος από την πλευρά των εταιριών παραγωγής ηλεκτρικής ενέργειας είναι</w:t>
      </w:r>
      <w:r w:rsidR="003D660F" w:rsidRPr="003D660F">
        <w:rPr>
          <w:i w:val="0"/>
          <w:color w:val="auto"/>
        </w:rPr>
        <w:t xml:space="preserve"> </w:t>
      </w:r>
      <w:r>
        <w:rPr>
          <w:i w:val="0"/>
          <w:color w:val="auto"/>
        </w:rPr>
        <w:t>η διαφάνεια και η αξιοπιστία των δεδομένων που παρέχονται, παράλληλα με την εξασφάλιση ότι το δικό μας σύστημα δε μεταβάλλει και επεξεργάζεται τα δεδομένα αυτά, η αξιοποίηση υπάρχοντων συστημάτων εκκαθάρισης πληρωμών, περιορίζοντας τον ενδεχόμενο συστημικό κίνδυνο, ακόμα και η πρόσβαση σε ταυτοποιήσιμα δεδομένα χρηστών για τους πελάτες της εταιρίας και σε μη ταυτοποιήσιμα για τους υπόλοιπους.</w:t>
      </w:r>
    </w:p>
    <w:p w14:paraId="35310C71" w14:textId="77777777" w:rsidR="00B7561A" w:rsidRPr="00C729E1" w:rsidRDefault="00B7561A" w:rsidP="00B7561A">
      <w:pPr>
        <w:pStyle w:val="Description"/>
        <w:rPr>
          <w:i w:val="0"/>
          <w:color w:val="auto"/>
        </w:rPr>
      </w:pPr>
      <w:r>
        <w:rPr>
          <w:i w:val="0"/>
          <w:color w:val="auto"/>
        </w:rPr>
        <w:t xml:space="preserve">  </w:t>
      </w:r>
    </w:p>
    <w:p w14:paraId="35B71FCC" w14:textId="77777777" w:rsidR="00C519A1" w:rsidRDefault="00486BEA" w:rsidP="004276A5">
      <w:pPr>
        <w:pStyle w:val="Heading1"/>
      </w:pPr>
      <w:r>
        <w:t>Περιορισμοί</w:t>
      </w:r>
      <w:r w:rsidR="00772CA3">
        <w:t xml:space="preserve"> στο πλαίσιο του έργου</w:t>
      </w:r>
    </w:p>
    <w:p w14:paraId="4D4B994B" w14:textId="77777777" w:rsidR="001648D5" w:rsidRPr="00B7561A" w:rsidRDefault="001648D5" w:rsidP="001648D5">
      <w:pPr>
        <w:pStyle w:val="Description"/>
        <w:rPr>
          <w:b/>
          <w:i w:val="0"/>
          <w:color w:val="auto"/>
        </w:rPr>
      </w:pPr>
      <w:r>
        <w:rPr>
          <w:i w:val="0"/>
          <w:color w:val="auto"/>
        </w:rPr>
        <w:t>Καθώς η αγορά των ηλεκτρικών οχημάτων διευρύνεται διαρκώς, η εφαρμογή θα χρησιμοποιείται από πολλούς χρήστες, οπότε προκειμένου το σύστημα να μπορεί να διαχειρίζεται μεγάλο πλήθος αιτημάτων, θα είναι περιορισμένες και πολύ συγκεκριμένες οι δυνατότητες που θα προσφέρει.</w:t>
      </w:r>
      <w:r w:rsidR="006227BD">
        <w:rPr>
          <w:i w:val="0"/>
          <w:color w:val="auto"/>
        </w:rPr>
        <w:t xml:space="preserve"> Επιπλέον, οι πόροι των υπολογιστικών συστημάτων της πλατφόρμας θα είναι αδύνατον να κάνουν τόσο μεγάλη επεξεργασία δεδομένων έτσι ώστε να παρέχουν σε πραγματικό χρόνο τα δεδομένα στις εταιρίες</w:t>
      </w:r>
      <w:r w:rsidR="002747D7">
        <w:rPr>
          <w:i w:val="0"/>
          <w:color w:val="auto"/>
        </w:rPr>
        <w:t>, ενώ παράλληλα είναι αδύνατη και η άμεση ανανέωση των δεδομένων καθώς αρχικά τουλάχιστον δε μπορούμε να έχουμε κάποιο αυτοματοποιημένο σύστημα για την έγκριση των δεδομένων αυτών</w:t>
      </w:r>
      <w:r w:rsidR="006227BD">
        <w:rPr>
          <w:i w:val="0"/>
          <w:color w:val="auto"/>
        </w:rPr>
        <w:t>.</w:t>
      </w:r>
    </w:p>
    <w:p w14:paraId="6844B752" w14:textId="77777777" w:rsidR="001648D5" w:rsidRPr="001648D5" w:rsidRDefault="001648D5" w:rsidP="001648D5"/>
    <w:p w14:paraId="2F39C644" w14:textId="77777777" w:rsidR="00E43B38" w:rsidRDefault="00515616" w:rsidP="004276A5">
      <w:pPr>
        <w:pStyle w:val="Heading1"/>
      </w:pPr>
      <w:r>
        <w:t xml:space="preserve">Παράρτημα: ακρωνύμια και συντομογραφίες </w:t>
      </w:r>
    </w:p>
    <w:p w14:paraId="5677F3BF" w14:textId="77777777" w:rsidR="00221171" w:rsidRPr="004A0EA2" w:rsidRDefault="004A0EA2" w:rsidP="00221171">
      <w:pPr>
        <w:pStyle w:val="Description"/>
        <w:rPr>
          <w:i w:val="0"/>
          <w:color w:val="auto"/>
          <w:lang w:val="en-US"/>
        </w:rPr>
      </w:pPr>
      <w:r>
        <w:rPr>
          <w:i w:val="0"/>
          <w:color w:val="auto"/>
          <w:lang w:val="en-US"/>
        </w:rPr>
        <w:t>UI = User Interface</w:t>
      </w:r>
    </w:p>
    <w:p w14:paraId="52CEC672" w14:textId="77777777" w:rsidR="00FE7A3C" w:rsidRPr="00C87106" w:rsidRDefault="00FE7A3C" w:rsidP="00C87106"/>
    <w:sectPr w:rsidR="00FE7A3C" w:rsidRPr="00C87106" w:rsidSect="00383D14">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7F693" w14:textId="77777777" w:rsidR="00BB3A27" w:rsidRDefault="00BB3A27" w:rsidP="00651715">
      <w:pPr>
        <w:spacing w:before="0"/>
      </w:pPr>
      <w:r>
        <w:separator/>
      </w:r>
    </w:p>
  </w:endnote>
  <w:endnote w:type="continuationSeparator" w:id="0">
    <w:p w14:paraId="1165B8BB" w14:textId="77777777" w:rsidR="00BB3A27" w:rsidRDefault="00BB3A2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B720D" w14:textId="77777777" w:rsidR="004A05E6" w:rsidRDefault="004A0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2A36" w14:textId="77777777" w:rsidR="00651715" w:rsidRPr="00CD383C" w:rsidRDefault="00221171" w:rsidP="00CD383C">
    <w:pPr>
      <w:pStyle w:val="Footer"/>
      <w:pBdr>
        <w:top w:val="single" w:sz="4" w:space="1" w:color="auto"/>
      </w:pBdr>
      <w:rPr>
        <w:sz w:val="18"/>
        <w:szCs w:val="18"/>
      </w:rPr>
    </w:pPr>
    <w:r>
      <w:rPr>
        <w:sz w:val="18"/>
        <w:szCs w:val="18"/>
      </w:rPr>
      <w:t>ΟΜΑΔΑ</w:t>
    </w:r>
    <w:r w:rsidR="004A05E6">
      <w:rPr>
        <w:sz w:val="18"/>
        <w:szCs w:val="18"/>
      </w:rPr>
      <w:t xml:space="preserve"> 50</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8E2BE2" w:rsidRPr="00CD383C">
      <w:rPr>
        <w:sz w:val="18"/>
        <w:szCs w:val="18"/>
      </w:rPr>
      <w:fldChar w:fldCharType="begin"/>
    </w:r>
    <w:r w:rsidR="00651715" w:rsidRPr="00CD383C">
      <w:rPr>
        <w:sz w:val="18"/>
        <w:szCs w:val="18"/>
      </w:rPr>
      <w:instrText xml:space="preserve"> PAGE  \* MERGEFORMAT </w:instrText>
    </w:r>
    <w:r w:rsidR="008E2BE2" w:rsidRPr="00CD383C">
      <w:rPr>
        <w:sz w:val="18"/>
        <w:szCs w:val="18"/>
      </w:rPr>
      <w:fldChar w:fldCharType="separate"/>
    </w:r>
    <w:r w:rsidR="004A05E6">
      <w:rPr>
        <w:noProof/>
        <w:sz w:val="18"/>
        <w:szCs w:val="18"/>
      </w:rPr>
      <w:t>2</w:t>
    </w:r>
    <w:r w:rsidR="008E2BE2"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fldSimple w:instr=" NUMPAGES  \* MERGEFORMAT ">
      <w:r w:rsidR="004A05E6" w:rsidRPr="004A05E6">
        <w:rPr>
          <w:noProof/>
          <w:sz w:val="18"/>
          <w:szCs w:val="18"/>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0FCE2" w14:textId="77777777" w:rsidR="004A05E6" w:rsidRDefault="004A0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807A4" w14:textId="77777777" w:rsidR="00BB3A27" w:rsidRDefault="00BB3A27" w:rsidP="00651715">
      <w:pPr>
        <w:spacing w:before="0"/>
      </w:pPr>
      <w:r>
        <w:separator/>
      </w:r>
    </w:p>
  </w:footnote>
  <w:footnote w:type="continuationSeparator" w:id="0">
    <w:p w14:paraId="43744149" w14:textId="77777777" w:rsidR="00BB3A27" w:rsidRDefault="00BB3A27"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EC74" w14:textId="77777777" w:rsidR="004A05E6" w:rsidRDefault="004A0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76711" w14:textId="77777777" w:rsidR="004A05E6" w:rsidRDefault="004A0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77A87" w14:textId="77777777" w:rsidR="004A05E6" w:rsidRDefault="004A0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EE0A04"/>
    <w:multiLevelType w:val="hybridMultilevel"/>
    <w:tmpl w:val="E9D2E4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5A2E0F"/>
    <w:multiLevelType w:val="hybridMultilevel"/>
    <w:tmpl w:val="456CBD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1"/>
  </w:num>
  <w:num w:numId="3">
    <w:abstractNumId w:val="12"/>
  </w:num>
  <w:num w:numId="4">
    <w:abstractNumId w:val="4"/>
  </w:num>
  <w:num w:numId="5">
    <w:abstractNumId w:val="7"/>
  </w:num>
  <w:num w:numId="6">
    <w:abstractNumId w:val="17"/>
  </w:num>
  <w:num w:numId="7">
    <w:abstractNumId w:val="8"/>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9"/>
  </w:num>
  <w:num w:numId="16">
    <w:abstractNumId w:val="0"/>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47433"/>
    <w:rsid w:val="000523EE"/>
    <w:rsid w:val="000818FE"/>
    <w:rsid w:val="000A57EE"/>
    <w:rsid w:val="000D2A93"/>
    <w:rsid w:val="00111202"/>
    <w:rsid w:val="00116BE3"/>
    <w:rsid w:val="00147AA7"/>
    <w:rsid w:val="00156DC9"/>
    <w:rsid w:val="001648D5"/>
    <w:rsid w:val="001966DA"/>
    <w:rsid w:val="001E6AA0"/>
    <w:rsid w:val="00221171"/>
    <w:rsid w:val="00252015"/>
    <w:rsid w:val="002656FF"/>
    <w:rsid w:val="002747D7"/>
    <w:rsid w:val="002856B1"/>
    <w:rsid w:val="002A5F18"/>
    <w:rsid w:val="00360C34"/>
    <w:rsid w:val="00383D14"/>
    <w:rsid w:val="003A1D6C"/>
    <w:rsid w:val="003D660F"/>
    <w:rsid w:val="004276A5"/>
    <w:rsid w:val="00434F31"/>
    <w:rsid w:val="00486BEA"/>
    <w:rsid w:val="004A05E6"/>
    <w:rsid w:val="004A0EA2"/>
    <w:rsid w:val="004B1A74"/>
    <w:rsid w:val="004E64D6"/>
    <w:rsid w:val="00502D10"/>
    <w:rsid w:val="0051233D"/>
    <w:rsid w:val="00515616"/>
    <w:rsid w:val="00533777"/>
    <w:rsid w:val="00564E51"/>
    <w:rsid w:val="005738CC"/>
    <w:rsid w:val="00580A8C"/>
    <w:rsid w:val="00596973"/>
    <w:rsid w:val="00607C0B"/>
    <w:rsid w:val="006227BD"/>
    <w:rsid w:val="006324B1"/>
    <w:rsid w:val="006500BA"/>
    <w:rsid w:val="00651715"/>
    <w:rsid w:val="00686E19"/>
    <w:rsid w:val="006D10DA"/>
    <w:rsid w:val="00766318"/>
    <w:rsid w:val="00772CA3"/>
    <w:rsid w:val="0078083D"/>
    <w:rsid w:val="00791750"/>
    <w:rsid w:val="007D60D2"/>
    <w:rsid w:val="00840B29"/>
    <w:rsid w:val="008E2BE2"/>
    <w:rsid w:val="00910F63"/>
    <w:rsid w:val="00912552"/>
    <w:rsid w:val="0091548D"/>
    <w:rsid w:val="009474EB"/>
    <w:rsid w:val="00965EDE"/>
    <w:rsid w:val="00976DEA"/>
    <w:rsid w:val="0099708D"/>
    <w:rsid w:val="009C1C4D"/>
    <w:rsid w:val="009E195F"/>
    <w:rsid w:val="00A0584B"/>
    <w:rsid w:val="00A10F7D"/>
    <w:rsid w:val="00A2108B"/>
    <w:rsid w:val="00A24711"/>
    <w:rsid w:val="00A30DB1"/>
    <w:rsid w:val="00A642AE"/>
    <w:rsid w:val="00A72D4E"/>
    <w:rsid w:val="00AE1A3E"/>
    <w:rsid w:val="00B414F3"/>
    <w:rsid w:val="00B5446B"/>
    <w:rsid w:val="00B7561A"/>
    <w:rsid w:val="00B7566D"/>
    <w:rsid w:val="00BB3A27"/>
    <w:rsid w:val="00BE4961"/>
    <w:rsid w:val="00BF22DA"/>
    <w:rsid w:val="00C12DBE"/>
    <w:rsid w:val="00C309C0"/>
    <w:rsid w:val="00C519A1"/>
    <w:rsid w:val="00C60E95"/>
    <w:rsid w:val="00C729E1"/>
    <w:rsid w:val="00C87106"/>
    <w:rsid w:val="00CD383C"/>
    <w:rsid w:val="00D274E4"/>
    <w:rsid w:val="00DC1550"/>
    <w:rsid w:val="00E127C6"/>
    <w:rsid w:val="00E4060C"/>
    <w:rsid w:val="00E43B38"/>
    <w:rsid w:val="00E9234A"/>
    <w:rsid w:val="00EB771A"/>
    <w:rsid w:val="00F25880"/>
    <w:rsid w:val="00F43C5C"/>
    <w:rsid w:val="00F6017F"/>
    <w:rsid w:val="00FB199F"/>
    <w:rsid w:val="00FD0C7D"/>
    <w:rsid w:val="00FE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A1F6"/>
  <w15:docId w15:val="{CAAEB765-8320-4523-A65C-9ABCE6B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727</Words>
  <Characters>4150</Characters>
  <Application>Microsoft Office Word</Application>
  <DocSecurity>0</DocSecurity>
  <Lines>34</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panagiotis ageridis</cp:lastModifiedBy>
  <cp:revision>34</cp:revision>
  <dcterms:created xsi:type="dcterms:W3CDTF">2020-12-20T12:06:00Z</dcterms:created>
  <dcterms:modified xsi:type="dcterms:W3CDTF">2021-03-14T18:08:00Z</dcterms:modified>
</cp:coreProperties>
</file>