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772571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The Ocular Motor System</w:t>
      </w:r>
    </w:p>
    <w:p w:rsidR="00D42E17" w:rsidRPr="006F2B3B" w:rsidRDefault="00772571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A Quantitative Evaluation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4B441F">
        <w:rPr>
          <w:rFonts w:cstheme="minorHAnsi"/>
          <w:smallCaps/>
        </w:rPr>
        <w:t>Jonathan</w:t>
      </w:r>
      <w:r w:rsidRPr="006F2B3B">
        <w:rPr>
          <w:rFonts w:cstheme="minorHAnsi"/>
          <w:smallCaps/>
        </w:rPr>
        <w:t xml:space="preserve"> </w:t>
      </w:r>
      <w:r w:rsidR="004B441F">
        <w:rPr>
          <w:rFonts w:cstheme="minorHAnsi"/>
          <w:smallCaps/>
        </w:rPr>
        <w:t>Jacobs</w:t>
      </w:r>
      <w:r w:rsidRPr="006F2B3B">
        <w:rPr>
          <w:rFonts w:cstheme="minorHAnsi"/>
          <w:smallCaps/>
        </w:rPr>
        <w:t xml:space="preserve"> </w:t>
      </w:r>
    </w:p>
    <w:p w:rsidR="009475B1" w:rsidRPr="006F2B3B" w:rsidRDefault="00D56193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27</w:t>
      </w:r>
      <w:r w:rsidR="00AC1DB7" w:rsidRPr="006F2B3B">
        <w:rPr>
          <w:rFonts w:cstheme="minorHAnsi"/>
          <w:smallCaps/>
        </w:rPr>
        <w:t xml:space="preserve"> October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799B">
      <w:pPr>
        <w:spacing w:after="120" w:line="23" w:lineRule="atLeast"/>
        <w:ind w:firstLine="720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 xml:space="preserve">Abstract— </w:t>
      </w:r>
      <w:r w:rsidR="009F03D1" w:rsidRPr="006F2B3B">
        <w:rPr>
          <w:rFonts w:cstheme="minorHAnsi"/>
          <w:b/>
          <w:sz w:val="22"/>
        </w:rPr>
        <w:t>The abstract goes here.</w:t>
      </w:r>
      <w:bookmarkStart w:id="0" w:name="_GoBack"/>
      <w:bookmarkEnd w:id="0"/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B26EB9" w:rsidRPr="006F2B3B">
        <w:rPr>
          <w:rFonts w:cstheme="minorHAnsi"/>
          <w:smallCaps/>
        </w:rPr>
        <w:t>Introduction</w:t>
      </w:r>
    </w:p>
    <w:p w:rsidR="00694DF6" w:rsidRPr="006F2B3B" w:rsidRDefault="009C7373" w:rsidP="000F799B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intro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Methods</w:t>
      </w:r>
    </w:p>
    <w:p w:rsidR="00AB7066" w:rsidRDefault="00C25227" w:rsidP="00AB7066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Using a collection of equipment including computer-based high-speed digital video eye tracker, rotating chair with head stabilization, laser aimed at a 2-D mirror galvanometer system, amplifiers, and the LabVIEW data acquisition system, we conducted a series of tests of the ocular motor subsystems described in the introduction.</w:t>
      </w:r>
      <w:r w:rsidR="00AB7066">
        <w:rPr>
          <w:rFonts w:cstheme="minorHAnsi"/>
          <w:sz w:val="22"/>
        </w:rPr>
        <w:t xml:space="preserve"> These test were divided among four experiments and two subjects.</w:t>
      </w:r>
    </w:p>
    <w:p w:rsidR="00206342" w:rsidRPr="00AB7066" w:rsidRDefault="00206342" w:rsidP="00206342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 w:rsidRPr="000A7FC7">
        <w:rPr>
          <w:rFonts w:cstheme="minorHAnsi"/>
          <w:i/>
          <w:sz w:val="22"/>
        </w:rPr>
        <w:t>Experiment I.</w:t>
      </w:r>
      <w:r>
        <w:rPr>
          <w:rFonts w:cstheme="minorHAnsi"/>
          <w:i/>
          <w:sz w:val="22"/>
        </w:rPr>
        <w:t xml:space="preserve"> Smooth pursuit performance</w:t>
      </w:r>
      <w:r w:rsidR="00C87DD9" w:rsidRPr="00AF433D">
        <w:rPr>
          <w:rFonts w:cstheme="minorHAnsi"/>
          <w:i/>
          <w:sz w:val="22"/>
        </w:rPr>
        <w:t>.</w:t>
      </w:r>
      <w:r>
        <w:rPr>
          <w:rFonts w:cstheme="minorHAnsi"/>
          <w:sz w:val="22"/>
        </w:rPr>
        <w:t xml:space="preserve"> One</w:t>
      </w:r>
    </w:p>
    <w:p w:rsidR="00206342" w:rsidRPr="00AB7066" w:rsidRDefault="00206342" w:rsidP="00206342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 w:rsidRPr="000A7FC7">
        <w:rPr>
          <w:rFonts w:cstheme="minorHAnsi"/>
          <w:i/>
          <w:sz w:val="22"/>
        </w:rPr>
        <w:t>Experiment I</w:t>
      </w:r>
      <w:r>
        <w:rPr>
          <w:rFonts w:cstheme="minorHAnsi"/>
          <w:i/>
          <w:sz w:val="22"/>
        </w:rPr>
        <w:t>I</w:t>
      </w:r>
      <w:r w:rsidRPr="000A7FC7">
        <w:rPr>
          <w:rFonts w:cstheme="minorHAnsi"/>
          <w:i/>
          <w:sz w:val="22"/>
        </w:rPr>
        <w:t>.</w:t>
      </w:r>
      <w:r>
        <w:rPr>
          <w:rFonts w:cstheme="minorHAnsi"/>
          <w:i/>
          <w:sz w:val="22"/>
        </w:rPr>
        <w:t xml:space="preserve"> </w:t>
      </w:r>
      <w:r>
        <w:rPr>
          <w:rFonts w:cstheme="minorHAnsi"/>
          <w:i/>
          <w:sz w:val="22"/>
        </w:rPr>
        <w:t>Visual gain and ocular motor control</w:t>
      </w:r>
      <w:r w:rsidR="008A2E6F" w:rsidRPr="00AF433D">
        <w:rPr>
          <w:rFonts w:cstheme="minorHAnsi"/>
          <w:i/>
          <w:sz w:val="22"/>
        </w:rPr>
        <w:t>.</w:t>
      </w:r>
      <w:r>
        <w:rPr>
          <w:rFonts w:cstheme="minorHAnsi"/>
          <w:sz w:val="22"/>
        </w:rPr>
        <w:t xml:space="preserve"> </w:t>
      </w:r>
      <w:r w:rsidR="004C437C">
        <w:rPr>
          <w:rFonts w:cstheme="minorHAnsi"/>
          <w:sz w:val="22"/>
        </w:rPr>
        <w:t>Two</w:t>
      </w:r>
    </w:p>
    <w:p w:rsidR="00206342" w:rsidRPr="00AB7066" w:rsidRDefault="00206342" w:rsidP="00206342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 w:rsidRPr="000A7FC7">
        <w:rPr>
          <w:rFonts w:cstheme="minorHAnsi"/>
          <w:i/>
          <w:sz w:val="22"/>
        </w:rPr>
        <w:t xml:space="preserve">Experiment </w:t>
      </w:r>
      <w:r w:rsidR="008736ED">
        <w:rPr>
          <w:rFonts w:cstheme="minorHAnsi"/>
          <w:i/>
          <w:sz w:val="22"/>
        </w:rPr>
        <w:t>II</w:t>
      </w:r>
      <w:r w:rsidRPr="000A7FC7">
        <w:rPr>
          <w:rFonts w:cstheme="minorHAnsi"/>
          <w:i/>
          <w:sz w:val="22"/>
        </w:rPr>
        <w:t>I.</w:t>
      </w:r>
      <w:r>
        <w:rPr>
          <w:rFonts w:cstheme="minorHAnsi"/>
          <w:i/>
          <w:sz w:val="22"/>
        </w:rPr>
        <w:t xml:space="preserve"> </w:t>
      </w:r>
      <w:r w:rsidR="008736ED">
        <w:rPr>
          <w:rFonts w:cstheme="minorHAnsi"/>
          <w:i/>
          <w:sz w:val="22"/>
        </w:rPr>
        <w:t xml:space="preserve">Saccadic </w:t>
      </w:r>
      <w:r>
        <w:rPr>
          <w:rFonts w:cstheme="minorHAnsi"/>
          <w:i/>
          <w:sz w:val="22"/>
        </w:rPr>
        <w:t>performance</w:t>
      </w:r>
      <w:r w:rsidR="00AF433D">
        <w:rPr>
          <w:rFonts w:cstheme="minorHAnsi"/>
          <w:i/>
          <w:sz w:val="22"/>
        </w:rPr>
        <w:t>.</w:t>
      </w:r>
      <w:r>
        <w:rPr>
          <w:rFonts w:cstheme="minorHAnsi"/>
          <w:sz w:val="22"/>
        </w:rPr>
        <w:t xml:space="preserve"> </w:t>
      </w:r>
      <w:r w:rsidR="00942B23">
        <w:rPr>
          <w:rFonts w:cstheme="minorHAnsi"/>
          <w:sz w:val="22"/>
        </w:rPr>
        <w:t>Three</w:t>
      </w:r>
    </w:p>
    <w:p w:rsidR="000A7FC7" w:rsidRPr="00AB7066" w:rsidRDefault="000A7FC7" w:rsidP="00AB7066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 w:rsidRPr="000A7FC7">
        <w:rPr>
          <w:rFonts w:cstheme="minorHAnsi"/>
          <w:i/>
          <w:sz w:val="22"/>
        </w:rPr>
        <w:t>Experiment I</w:t>
      </w:r>
      <w:r w:rsidR="00F40C24">
        <w:rPr>
          <w:rFonts w:cstheme="minorHAnsi"/>
          <w:i/>
          <w:sz w:val="22"/>
        </w:rPr>
        <w:t>V</w:t>
      </w:r>
      <w:r w:rsidRPr="000A7FC7">
        <w:rPr>
          <w:rFonts w:cstheme="minorHAnsi"/>
          <w:i/>
          <w:sz w:val="22"/>
        </w:rPr>
        <w:t>.</w:t>
      </w:r>
      <w:r w:rsidR="00B97CDB">
        <w:rPr>
          <w:rFonts w:cstheme="minorHAnsi"/>
          <w:i/>
          <w:sz w:val="22"/>
        </w:rPr>
        <w:t xml:space="preserve"> </w:t>
      </w:r>
      <w:r w:rsidR="00F40C24">
        <w:rPr>
          <w:rFonts w:cstheme="minorHAnsi"/>
          <w:i/>
          <w:sz w:val="22"/>
        </w:rPr>
        <w:t>Vestibular-ocular reflex performance and control</w:t>
      </w:r>
      <w:r w:rsidR="00AF433D" w:rsidRPr="00AF433D">
        <w:rPr>
          <w:rFonts w:cstheme="minorHAnsi"/>
          <w:i/>
          <w:sz w:val="22"/>
        </w:rPr>
        <w:t>.</w:t>
      </w:r>
      <w:r>
        <w:rPr>
          <w:rFonts w:cstheme="minorHAnsi"/>
          <w:sz w:val="22"/>
        </w:rPr>
        <w:t xml:space="preserve"> </w:t>
      </w:r>
      <w:r w:rsidR="00F45197">
        <w:rPr>
          <w:rFonts w:cstheme="minorHAnsi"/>
          <w:sz w:val="22"/>
        </w:rPr>
        <w:t>Four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Results</w:t>
      </w:r>
    </w:p>
    <w:p w:rsidR="00694DF6" w:rsidRPr="006F2B3B" w:rsidRDefault="009C7373" w:rsidP="000F799B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results go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Discussion</w:t>
      </w:r>
    </w:p>
    <w:p w:rsidR="00694DF6" w:rsidRPr="006F2B3B" w:rsidRDefault="009C7373" w:rsidP="000F799B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Conclusion</w:t>
      </w:r>
    </w:p>
    <w:p w:rsidR="00694DF6" w:rsidRDefault="009C7373" w:rsidP="000F799B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A5186" w:rsidRDefault="00987827" w:rsidP="009871AF">
      <w:pPr>
        <w:spacing w:after="240" w:line="23" w:lineRule="atLeast"/>
        <w:jc w:val="center"/>
        <w:rPr>
          <w:rFonts w:cstheme="minorHAnsi"/>
          <w:smallCaps/>
        </w:rPr>
      </w:pPr>
      <w:r w:rsidRPr="00AA5186">
        <w:rPr>
          <w:rFonts w:cstheme="minorHAnsi"/>
          <w:smallCaps/>
        </w:rPr>
        <w:t>Acknowledgement</w:t>
      </w:r>
    </w:p>
    <w:p w:rsidR="00694DF6" w:rsidRDefault="00DC7A1F" w:rsidP="008B3110">
      <w:pPr>
        <w:spacing w:after="120" w:line="23" w:lineRule="atLeast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Dr. </w:t>
      </w:r>
      <w:r w:rsidR="0048733F">
        <w:rPr>
          <w:rFonts w:cstheme="minorHAnsi"/>
          <w:sz w:val="22"/>
        </w:rPr>
        <w:t>Jacobs</w:t>
      </w:r>
      <w:r>
        <w:rPr>
          <w:rFonts w:cstheme="minorHAnsi"/>
          <w:sz w:val="22"/>
        </w:rPr>
        <w:t xml:space="preserve"> </w:t>
      </w:r>
      <w:r w:rsidR="00ED58B1">
        <w:rPr>
          <w:rFonts w:cstheme="minorHAnsi"/>
          <w:sz w:val="22"/>
        </w:rPr>
        <w:t xml:space="preserve">for the opportunity </w:t>
      </w:r>
      <w:r w:rsidR="003D7F5C">
        <w:rPr>
          <w:rFonts w:cstheme="minorHAnsi"/>
          <w:sz w:val="22"/>
        </w:rPr>
        <w:t xml:space="preserve">to </w:t>
      </w:r>
      <w:r w:rsidR="00891496">
        <w:rPr>
          <w:rFonts w:cstheme="minorHAnsi"/>
          <w:sz w:val="22"/>
        </w:rPr>
        <w:t>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  <w:r w:rsidR="008B3110">
        <w:rPr>
          <w:rFonts w:cstheme="minorHAnsi"/>
          <w:sz w:val="22"/>
        </w:rPr>
        <w:t xml:space="preserve"> Being </w:t>
      </w:r>
      <w:r w:rsidR="000A5D21">
        <w:rPr>
          <w:rFonts w:cstheme="minorHAnsi"/>
          <w:sz w:val="22"/>
        </w:rPr>
        <w:t>allowed</w:t>
      </w:r>
      <w:r w:rsidR="008B3110">
        <w:rPr>
          <w:rFonts w:cstheme="minorHAnsi"/>
          <w:sz w:val="22"/>
        </w:rPr>
        <w:t xml:space="preserve"> to use </w:t>
      </w:r>
      <w:r w:rsidR="000A5D21">
        <w:rPr>
          <w:rFonts w:cstheme="minorHAnsi"/>
          <w:sz w:val="22"/>
        </w:rPr>
        <w:t xml:space="preserve">the </w:t>
      </w:r>
      <w:r w:rsidR="000A5D21" w:rsidRPr="00BD4752">
        <w:rPr>
          <w:rFonts w:cstheme="minorHAnsi"/>
          <w:i/>
          <w:sz w:val="22"/>
        </w:rPr>
        <w:t>state-of-the-art</w:t>
      </w:r>
      <w:r w:rsidR="008B3110">
        <w:rPr>
          <w:rFonts w:cstheme="minorHAnsi"/>
          <w:sz w:val="22"/>
        </w:rPr>
        <w:t xml:space="preserve"> equipment in the Daroff-Dell’Osso Ocu</w:t>
      </w:r>
      <w:r w:rsidR="0033712F">
        <w:rPr>
          <w:rFonts w:cstheme="minorHAnsi"/>
          <w:sz w:val="22"/>
        </w:rPr>
        <w:t xml:space="preserve">lar Motility Laboratory (OMLAB) </w:t>
      </w:r>
      <w:r w:rsidR="00E621F0">
        <w:rPr>
          <w:rFonts w:cstheme="minorHAnsi"/>
          <w:sz w:val="22"/>
        </w:rPr>
        <w:t>was especially fun and memorable.</w:t>
      </w:r>
    </w:p>
    <w:p w:rsidR="00D72D7E" w:rsidRDefault="00D72D7E" w:rsidP="00D72D7E">
      <w:pPr>
        <w:spacing w:after="120" w:line="23" w:lineRule="atLeast"/>
        <w:jc w:val="center"/>
        <w:rPr>
          <w:rFonts w:cstheme="minorHAnsi"/>
        </w:rPr>
      </w:pPr>
    </w:p>
    <w:p w:rsidR="000935B4" w:rsidRDefault="000935B4" w:rsidP="000935B4">
      <w:pPr>
        <w:spacing w:after="120" w:line="23" w:lineRule="atLeast"/>
        <w:jc w:val="center"/>
        <w:rPr>
          <w:noProof/>
        </w:rPr>
      </w:pPr>
      <w:r>
        <w:rPr>
          <w:rFonts w:cstheme="minorHAnsi"/>
          <w:smallCaps/>
        </w:rPr>
        <w:t>References</w:t>
      </w:r>
      <w:r>
        <w:rPr>
          <w:rFonts w:cstheme="minorHAnsi"/>
          <w:sz w:val="20"/>
        </w:rPr>
        <w:fldChar w:fldCharType="begin"/>
      </w:r>
      <w:r>
        <w:rPr>
          <w:rFonts w:cstheme="minorHAnsi"/>
          <w:sz w:val="20"/>
        </w:rPr>
        <w:instrText xml:space="preserve"> BIBLIOGRAPHY  \l 1033 </w:instrText>
      </w:r>
      <w:r>
        <w:rPr>
          <w:rFonts w:cstheme="minorHAnsi"/>
          <w:sz w:val="20"/>
        </w:rPr>
        <w:fldChar w:fldCharType="separate"/>
      </w:r>
    </w:p>
    <w:tbl>
      <w:tblPr>
        <w:tblW w:w="492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8782"/>
      </w:tblGrid>
      <w:tr w:rsidR="000935B4" w:rsidRPr="003F31F7" w:rsidTr="00F57876">
        <w:trPr>
          <w:divId w:val="1741445572"/>
          <w:tblCellSpacing w:w="15" w:type="dxa"/>
        </w:trPr>
        <w:tc>
          <w:tcPr>
            <w:tcW w:w="216" w:type="pct"/>
            <w:hideMark/>
          </w:tcPr>
          <w:p w:rsidR="000935B4" w:rsidRPr="003F31F7" w:rsidRDefault="000935B4" w:rsidP="000935B4">
            <w:pPr>
              <w:pStyle w:val="Bibliography"/>
              <w:spacing w:after="120" w:line="276" w:lineRule="auto"/>
              <w:rPr>
                <w:noProof/>
                <w:sz w:val="20"/>
              </w:rPr>
            </w:pPr>
            <w:r w:rsidRPr="003F31F7">
              <w:rPr>
                <w:noProof/>
                <w:sz w:val="20"/>
              </w:rPr>
              <w:t xml:space="preserve">[1] </w:t>
            </w:r>
          </w:p>
        </w:tc>
        <w:tc>
          <w:tcPr>
            <w:tcW w:w="4735" w:type="pct"/>
            <w:hideMark/>
          </w:tcPr>
          <w:p w:rsidR="000935B4" w:rsidRPr="003F31F7" w:rsidRDefault="000935B4" w:rsidP="00F57876">
            <w:pPr>
              <w:pStyle w:val="Bibliography"/>
              <w:spacing w:after="120" w:line="276" w:lineRule="auto"/>
              <w:jc w:val="both"/>
              <w:rPr>
                <w:noProof/>
                <w:sz w:val="20"/>
              </w:rPr>
            </w:pPr>
            <w:r w:rsidRPr="003F31F7">
              <w:rPr>
                <w:noProof/>
                <w:sz w:val="20"/>
              </w:rPr>
              <w:t xml:space="preserve">L. A. Abel, D. Schmidt, L. F. Dell'Osso and R. B. Daroff, "Saccadic system plasticity in humans," </w:t>
            </w:r>
            <w:r w:rsidRPr="003F31F7">
              <w:rPr>
                <w:i/>
                <w:iCs/>
                <w:noProof/>
                <w:sz w:val="20"/>
              </w:rPr>
              <w:t xml:space="preserve">Annals of NeuroIogy, </w:t>
            </w:r>
            <w:r w:rsidRPr="003F31F7">
              <w:rPr>
                <w:noProof/>
                <w:sz w:val="20"/>
              </w:rPr>
              <w:t xml:space="preserve">vol. 4, no. 4, pp. 313-318, October 1978. </w:t>
            </w:r>
          </w:p>
        </w:tc>
      </w:tr>
      <w:tr w:rsidR="000935B4" w:rsidRPr="003F31F7" w:rsidTr="00F57876">
        <w:trPr>
          <w:divId w:val="1741445572"/>
          <w:tblCellSpacing w:w="15" w:type="dxa"/>
        </w:trPr>
        <w:tc>
          <w:tcPr>
            <w:tcW w:w="216" w:type="pct"/>
            <w:hideMark/>
          </w:tcPr>
          <w:p w:rsidR="000935B4" w:rsidRPr="003F31F7" w:rsidRDefault="000935B4" w:rsidP="000935B4">
            <w:pPr>
              <w:pStyle w:val="Bibliography"/>
              <w:spacing w:after="120" w:line="276" w:lineRule="auto"/>
              <w:rPr>
                <w:noProof/>
                <w:sz w:val="20"/>
              </w:rPr>
            </w:pPr>
            <w:r w:rsidRPr="003F31F7">
              <w:rPr>
                <w:noProof/>
                <w:sz w:val="20"/>
              </w:rPr>
              <w:lastRenderedPageBreak/>
              <w:t xml:space="preserve">[2] </w:t>
            </w:r>
          </w:p>
        </w:tc>
        <w:tc>
          <w:tcPr>
            <w:tcW w:w="4735" w:type="pct"/>
            <w:hideMark/>
          </w:tcPr>
          <w:p w:rsidR="000935B4" w:rsidRPr="003F31F7" w:rsidRDefault="000935B4" w:rsidP="00F57876">
            <w:pPr>
              <w:pStyle w:val="Bibliography"/>
              <w:spacing w:after="120" w:line="276" w:lineRule="auto"/>
              <w:jc w:val="both"/>
              <w:rPr>
                <w:noProof/>
                <w:sz w:val="20"/>
              </w:rPr>
            </w:pPr>
            <w:r w:rsidRPr="003F31F7">
              <w:rPr>
                <w:noProof/>
                <w:sz w:val="20"/>
              </w:rPr>
              <w:t xml:space="preserve">J. A. SHARPE and T. O. SYLVESTER, "Effect of aging on horizontal smooth pursuit," </w:t>
            </w:r>
            <w:r w:rsidRPr="003F31F7">
              <w:rPr>
                <w:i/>
                <w:iCs/>
                <w:noProof/>
                <w:sz w:val="20"/>
              </w:rPr>
              <w:t xml:space="preserve">Investigative Ophthalmology and Visual Science, </w:t>
            </w:r>
            <w:r w:rsidRPr="003F31F7">
              <w:rPr>
                <w:noProof/>
                <w:sz w:val="20"/>
              </w:rPr>
              <w:t xml:space="preserve">vol. 17, no. 5, pp. 465-480, May 1978. </w:t>
            </w:r>
          </w:p>
        </w:tc>
      </w:tr>
    </w:tbl>
    <w:p w:rsidR="000935B4" w:rsidRDefault="000935B4">
      <w:pPr>
        <w:divId w:val="1741445572"/>
        <w:rPr>
          <w:rFonts w:eastAsia="Times New Roman"/>
          <w:noProof/>
        </w:rPr>
      </w:pPr>
    </w:p>
    <w:p w:rsidR="00D72D7E" w:rsidRPr="005051B6" w:rsidRDefault="000935B4" w:rsidP="005051B6">
      <w:pPr>
        <w:spacing w:after="120" w:line="23" w:lineRule="atLeast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fldChar w:fldCharType="end"/>
      </w:r>
    </w:p>
    <w:sectPr w:rsidR="00D72D7E" w:rsidRPr="005051B6" w:rsidSect="00EB14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E15" w:rsidRDefault="00684E15" w:rsidP="007B5F4C">
      <w:pPr>
        <w:spacing w:line="240" w:lineRule="auto"/>
      </w:pPr>
      <w:r>
        <w:separator/>
      </w:r>
    </w:p>
  </w:endnote>
  <w:endnote w:type="continuationSeparator" w:id="0">
    <w:p w:rsidR="00684E15" w:rsidRDefault="00684E15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F94" w:rsidRPr="009E3357" w:rsidRDefault="00BB1F94" w:rsidP="00BB1F94">
    <w:pPr>
      <w:pStyle w:val="Footer"/>
      <w:pBdr>
        <w:top w:val="single" w:sz="4" w:space="1" w:color="D9D9D9" w:themeColor="background1" w:themeShade="D9"/>
      </w:pBdr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E15" w:rsidRDefault="00684E15" w:rsidP="007B5F4C">
      <w:pPr>
        <w:spacing w:line="240" w:lineRule="auto"/>
      </w:pPr>
      <w:r>
        <w:separator/>
      </w:r>
    </w:p>
  </w:footnote>
  <w:footnote w:type="continuationSeparator" w:id="0">
    <w:p w:rsidR="00684E15" w:rsidRDefault="00684E15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sz w:val="22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172A2" w:rsidRPr="00171163" w:rsidRDefault="007D1789" w:rsidP="0017116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sz w:val="22"/>
          </w:rPr>
        </w:pPr>
        <w:r w:rsidRPr="00171163">
          <w:rPr>
            <w:color w:val="7F7F7F" w:themeColor="background1" w:themeShade="7F"/>
            <w:spacing w:val="60"/>
            <w:sz w:val="22"/>
          </w:rPr>
          <w:t>Page</w:t>
        </w:r>
        <w:r w:rsidRPr="00171163">
          <w:rPr>
            <w:sz w:val="22"/>
          </w:rPr>
          <w:t xml:space="preserve"> | </w:t>
        </w:r>
        <w:r w:rsidRPr="00171163">
          <w:rPr>
            <w:sz w:val="22"/>
          </w:rPr>
          <w:fldChar w:fldCharType="begin"/>
        </w:r>
        <w:r w:rsidRPr="00171163">
          <w:rPr>
            <w:sz w:val="22"/>
          </w:rPr>
          <w:instrText xml:space="preserve"> PAGE   \* MERGEFORMAT </w:instrText>
        </w:r>
        <w:r w:rsidRPr="00171163">
          <w:rPr>
            <w:sz w:val="22"/>
          </w:rPr>
          <w:fldChar w:fldCharType="separate"/>
        </w:r>
        <w:r w:rsidR="00DD07BF" w:rsidRPr="00DD07BF">
          <w:rPr>
            <w:b/>
            <w:bCs/>
            <w:noProof/>
            <w:sz w:val="22"/>
          </w:rPr>
          <w:t>1</w:t>
        </w:r>
        <w:r w:rsidRPr="00171163">
          <w:rPr>
            <w:b/>
            <w:bCs/>
            <w:noProof/>
            <w:sz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3061E"/>
    <w:rsid w:val="00041679"/>
    <w:rsid w:val="00054AA7"/>
    <w:rsid w:val="000835BC"/>
    <w:rsid w:val="00083DB5"/>
    <w:rsid w:val="00085F26"/>
    <w:rsid w:val="000935B4"/>
    <w:rsid w:val="00096863"/>
    <w:rsid w:val="000A5D21"/>
    <w:rsid w:val="000A7FC7"/>
    <w:rsid w:val="000B21B8"/>
    <w:rsid w:val="000B476C"/>
    <w:rsid w:val="000C3ACC"/>
    <w:rsid w:val="000E5AB0"/>
    <w:rsid w:val="000E62E1"/>
    <w:rsid w:val="000F799B"/>
    <w:rsid w:val="00156D30"/>
    <w:rsid w:val="0015709C"/>
    <w:rsid w:val="00171163"/>
    <w:rsid w:val="00172B2D"/>
    <w:rsid w:val="001B614F"/>
    <w:rsid w:val="001C5591"/>
    <w:rsid w:val="001D22D4"/>
    <w:rsid w:val="00203C29"/>
    <w:rsid w:val="00206342"/>
    <w:rsid w:val="002626A5"/>
    <w:rsid w:val="00271B86"/>
    <w:rsid w:val="00301A87"/>
    <w:rsid w:val="0033712F"/>
    <w:rsid w:val="003B4EF2"/>
    <w:rsid w:val="003C09F9"/>
    <w:rsid w:val="003D7F5C"/>
    <w:rsid w:val="003F31F7"/>
    <w:rsid w:val="00423B36"/>
    <w:rsid w:val="00423FA6"/>
    <w:rsid w:val="004478AD"/>
    <w:rsid w:val="00454C86"/>
    <w:rsid w:val="0048733F"/>
    <w:rsid w:val="00490938"/>
    <w:rsid w:val="00496449"/>
    <w:rsid w:val="004B441F"/>
    <w:rsid w:val="004C0EB6"/>
    <w:rsid w:val="004C3FDA"/>
    <w:rsid w:val="004C437C"/>
    <w:rsid w:val="004C4DDB"/>
    <w:rsid w:val="005051B6"/>
    <w:rsid w:val="00521FB1"/>
    <w:rsid w:val="005A7FC4"/>
    <w:rsid w:val="005D0BE0"/>
    <w:rsid w:val="00603AEA"/>
    <w:rsid w:val="00611ED9"/>
    <w:rsid w:val="00616FD8"/>
    <w:rsid w:val="00624BC0"/>
    <w:rsid w:val="00631244"/>
    <w:rsid w:val="006502A0"/>
    <w:rsid w:val="00655629"/>
    <w:rsid w:val="00675B98"/>
    <w:rsid w:val="00682D86"/>
    <w:rsid w:val="00684E15"/>
    <w:rsid w:val="006867B8"/>
    <w:rsid w:val="00694DF6"/>
    <w:rsid w:val="006B5321"/>
    <w:rsid w:val="006C3761"/>
    <w:rsid w:val="006D74B5"/>
    <w:rsid w:val="006F2B3B"/>
    <w:rsid w:val="006F45A2"/>
    <w:rsid w:val="006F618A"/>
    <w:rsid w:val="00701910"/>
    <w:rsid w:val="00705D6B"/>
    <w:rsid w:val="00712282"/>
    <w:rsid w:val="00731F23"/>
    <w:rsid w:val="00737429"/>
    <w:rsid w:val="00741942"/>
    <w:rsid w:val="007500CC"/>
    <w:rsid w:val="00772571"/>
    <w:rsid w:val="00782588"/>
    <w:rsid w:val="00785F3D"/>
    <w:rsid w:val="007A072F"/>
    <w:rsid w:val="007A132C"/>
    <w:rsid w:val="007B0606"/>
    <w:rsid w:val="007B5F4C"/>
    <w:rsid w:val="007C3FE4"/>
    <w:rsid w:val="007D1789"/>
    <w:rsid w:val="007D2DF5"/>
    <w:rsid w:val="007F5438"/>
    <w:rsid w:val="00800CE7"/>
    <w:rsid w:val="008118C6"/>
    <w:rsid w:val="00834AFC"/>
    <w:rsid w:val="00837B4E"/>
    <w:rsid w:val="00841E9C"/>
    <w:rsid w:val="008479C5"/>
    <w:rsid w:val="008667AC"/>
    <w:rsid w:val="008736ED"/>
    <w:rsid w:val="00891496"/>
    <w:rsid w:val="008A2808"/>
    <w:rsid w:val="008A2E6F"/>
    <w:rsid w:val="008B3110"/>
    <w:rsid w:val="008B423D"/>
    <w:rsid w:val="008B611B"/>
    <w:rsid w:val="008C2525"/>
    <w:rsid w:val="008C4FDD"/>
    <w:rsid w:val="008D15DC"/>
    <w:rsid w:val="008D191B"/>
    <w:rsid w:val="008E1BDF"/>
    <w:rsid w:val="008F752F"/>
    <w:rsid w:val="00906912"/>
    <w:rsid w:val="00907E3B"/>
    <w:rsid w:val="00942B23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E16DB"/>
    <w:rsid w:val="009E3357"/>
    <w:rsid w:val="009F03D1"/>
    <w:rsid w:val="009F5B97"/>
    <w:rsid w:val="00A05B15"/>
    <w:rsid w:val="00A11217"/>
    <w:rsid w:val="00A31C67"/>
    <w:rsid w:val="00A403DE"/>
    <w:rsid w:val="00A44172"/>
    <w:rsid w:val="00A66E04"/>
    <w:rsid w:val="00A71143"/>
    <w:rsid w:val="00A71589"/>
    <w:rsid w:val="00A829B2"/>
    <w:rsid w:val="00AA5186"/>
    <w:rsid w:val="00AB7066"/>
    <w:rsid w:val="00AC1DB7"/>
    <w:rsid w:val="00AE4B7E"/>
    <w:rsid w:val="00AF433D"/>
    <w:rsid w:val="00B03FCA"/>
    <w:rsid w:val="00B1777E"/>
    <w:rsid w:val="00B20D83"/>
    <w:rsid w:val="00B22960"/>
    <w:rsid w:val="00B26EB9"/>
    <w:rsid w:val="00B55C0C"/>
    <w:rsid w:val="00B60331"/>
    <w:rsid w:val="00B73647"/>
    <w:rsid w:val="00B779F8"/>
    <w:rsid w:val="00B8474F"/>
    <w:rsid w:val="00B97CDB"/>
    <w:rsid w:val="00BA5900"/>
    <w:rsid w:val="00BA6C08"/>
    <w:rsid w:val="00BB1F94"/>
    <w:rsid w:val="00BB792E"/>
    <w:rsid w:val="00BC4261"/>
    <w:rsid w:val="00BD4752"/>
    <w:rsid w:val="00C01BEF"/>
    <w:rsid w:val="00C029A5"/>
    <w:rsid w:val="00C1330C"/>
    <w:rsid w:val="00C1712F"/>
    <w:rsid w:val="00C25227"/>
    <w:rsid w:val="00C274C2"/>
    <w:rsid w:val="00C73C5F"/>
    <w:rsid w:val="00C87DD9"/>
    <w:rsid w:val="00CB7311"/>
    <w:rsid w:val="00CD4135"/>
    <w:rsid w:val="00CD644D"/>
    <w:rsid w:val="00CE58C9"/>
    <w:rsid w:val="00D2021F"/>
    <w:rsid w:val="00D203FC"/>
    <w:rsid w:val="00D42E17"/>
    <w:rsid w:val="00D56193"/>
    <w:rsid w:val="00D65680"/>
    <w:rsid w:val="00D70ACA"/>
    <w:rsid w:val="00D7166C"/>
    <w:rsid w:val="00D72C0C"/>
    <w:rsid w:val="00D72D7E"/>
    <w:rsid w:val="00D90F4D"/>
    <w:rsid w:val="00DB5145"/>
    <w:rsid w:val="00DC7A1F"/>
    <w:rsid w:val="00DD07BF"/>
    <w:rsid w:val="00DE539D"/>
    <w:rsid w:val="00E13E7F"/>
    <w:rsid w:val="00E14F1E"/>
    <w:rsid w:val="00E265D2"/>
    <w:rsid w:val="00E26A20"/>
    <w:rsid w:val="00E40459"/>
    <w:rsid w:val="00E4661C"/>
    <w:rsid w:val="00E621F0"/>
    <w:rsid w:val="00E67F26"/>
    <w:rsid w:val="00E83655"/>
    <w:rsid w:val="00E842B9"/>
    <w:rsid w:val="00E86098"/>
    <w:rsid w:val="00E920A5"/>
    <w:rsid w:val="00E971F1"/>
    <w:rsid w:val="00EB14D7"/>
    <w:rsid w:val="00EB3326"/>
    <w:rsid w:val="00EC223A"/>
    <w:rsid w:val="00EC673D"/>
    <w:rsid w:val="00ED58B1"/>
    <w:rsid w:val="00EF60FF"/>
    <w:rsid w:val="00F06FF5"/>
    <w:rsid w:val="00F172A2"/>
    <w:rsid w:val="00F325E7"/>
    <w:rsid w:val="00F40C24"/>
    <w:rsid w:val="00F436CA"/>
    <w:rsid w:val="00F45197"/>
    <w:rsid w:val="00F57876"/>
    <w:rsid w:val="00F57DD5"/>
    <w:rsid w:val="00F70163"/>
    <w:rsid w:val="00F831C2"/>
    <w:rsid w:val="00F9632E"/>
    <w:rsid w:val="00FB5B3E"/>
    <w:rsid w:val="00F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ABA00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Abe78</b:Tag>
    <b:SourceType>JournalArticle</b:SourceType>
    <b:Guid>{13E47A74-A595-4B44-B0DF-FF4374AF7632}</b:Guid>
    <b:Title>Saccadic system plasticity in humans</b:Title>
    <b:JournalName>Annals of NeuroIogy</b:JournalName>
    <b:Year>1978</b:Year>
    <b:Pages>313-318</b:Pages>
    <b:Volume>4</b:Volume>
    <b:Issue>4</b:Issue>
    <b:Author>
      <b:Author>
        <b:NameList>
          <b:Person>
            <b:Last>Abel</b:Last>
            <b:Middle>A.</b:Middle>
            <b:First>L.</b:First>
          </b:Person>
          <b:Person>
            <b:Last>Schmidt</b:Last>
            <b:First>D</b:First>
          </b:Person>
          <b:Person>
            <b:Last>Dell'Osso</b:Last>
            <b:Middle>F.</b:Middle>
            <b:First>L.</b:First>
          </b:Person>
          <b:Person>
            <b:Last>Daroff</b:Last>
            <b:Middle>B.</b:Middle>
            <b:First>R.</b:First>
          </b:Person>
        </b:NameList>
      </b:Author>
    </b:Author>
    <b:City>Boston</b:City>
    <b:Month>October</b:Month>
    <b:Publisher>Little, Brown and Company</b:Publisher>
    <b:DOI>10.1002/ana.410040405</b:DOI>
    <b:RefOrder>1</b:RefOrder>
  </b:Source>
  <b:Source>
    <b:Tag>SHA78</b:Tag>
    <b:SourceType>JournalArticle</b:SourceType>
    <b:Guid>{52A08EA0-DABA-406F-82B3-F1F1A3E3A59E}</b:Guid>
    <b:Title>Effect of aging on horizontal smooth pursuit</b:Title>
    <b:JournalName>Investigative Ophthalmology and Visual Science</b:JournalName>
    <b:Year>1978</b:Year>
    <b:Pages>465-480</b:Pages>
    <b:Volume>17</b:Volume>
    <b:Issue>5</b:Issue>
    <b:Author>
      <b:Author>
        <b:NameList>
          <b:Person>
            <b:Last>SHARPE</b:Last>
            <b:Middle>A.</b:Middle>
            <b:First>JAMES</b:First>
          </b:Person>
          <b:Person>
            <b:Last>SYLVESTER</b:Last>
            <b:Middle>O.</b:Middle>
            <b:First>TREVOR</b:First>
          </b:Person>
        </b:NameList>
      </b:Author>
    </b:Author>
    <b:Month>May</b:Month>
    <b:Publisher>Association for Research in Vision and Ophthalmology, Inc.</b:Publisher>
    <b:DOI>0146-0404/78/0517-0465</b:DOI>
    <b:RefOrder>2</b:RefOrder>
  </b:Source>
</b:Sources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B8B30-6388-4206-9A06-35F37896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1126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192</cp:revision>
  <dcterms:created xsi:type="dcterms:W3CDTF">2016-07-12T10:41:00Z</dcterms:created>
  <dcterms:modified xsi:type="dcterms:W3CDTF">2016-10-28T03:50:00Z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