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30C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240" w:afterAutospacing="0" w:line="28" w:lineRule="atLeast"/>
        <w:ind w:left="0" w:right="0" w:firstLine="0"/>
        <w:rPr>
          <w:rFonts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48"/>
          <w:szCs w:val="4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48"/>
          <w:szCs w:val="48"/>
          <w:bdr w:val="none" w:color="auto" w:sz="0" w:space="0"/>
        </w:rPr>
        <w:t>5只沪深300ETF全面对比</w:t>
      </w:r>
    </w:p>
    <w:p w14:paraId="093E27D8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36" w:space="16"/>
          <w:bottom w:val="none" w:color="auto" w:sz="0" w:space="0"/>
          <w:right w:val="none" w:color="auto" w:sz="0" w:space="0"/>
        </w:pBdr>
        <w:shd w:val="clear" w:fill="F8F9FA"/>
        <w:spacing w:before="320" w:beforeAutospacing="0" w:after="320" w:afterAutospacing="0"/>
        <w:ind w:left="720" w:right="72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8"/>
          <w:szCs w:val="28"/>
          <w:bdr w:val="single" w:color="378ADD" w:sz="36" w:space="0"/>
          <w:shd w:val="clear" w:fill="F8F9FA"/>
          <w:lang w:val="en-US" w:eastAsia="zh-CN" w:bidi="ar"/>
        </w:rPr>
        <w:t>不推荐，只给数据。你选哪个，自己判断。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8"/>
          <w:szCs w:val="28"/>
          <w:bdr w:val="single" w:color="378ADD" w:sz="36" w:space="0"/>
          <w:shd w:val="clear" w:fill="F8F9FA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8"/>
          <w:szCs w:val="28"/>
          <w:bdr w:val="single" w:color="378ADD" w:sz="36" w:space="0"/>
          <w:shd w:val="clear" w:fill="F8F9FA"/>
          <w:lang w:val="en-US" w:eastAsia="zh-CN" w:bidi="ar"/>
        </w:rPr>
        <w:t>数据更新日期：2026-05-31 | 来源：Wind金融终端、非凸科技</w:t>
      </w:r>
    </w:p>
    <w:p w14:paraId="7A499E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沪深300指数是A股最核心的宽基指数。目前规模最大的5只沪深300ETF合计超过4500亿元。</w:t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本文从规模、费率、跟踪误差、波动率、夏普比率、最大回撤(近1年)、贝塔、阿尔法、信息比率、近3年回报共11个维度完整对比。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每个指标会在文末逐一解释定义，帮助理解。</w:t>
      </w:r>
    </w:p>
    <w:p w14:paraId="08FCEC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78ADD" w:sz="18" w:space="8"/>
          <w:right w:val="none" w:color="auto" w:sz="0" w:space="0"/>
        </w:pBdr>
        <w:spacing w:before="560" w:beforeAutospacing="0" w:after="240" w:afterAutospacing="0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40"/>
          <w:szCs w:val="40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40"/>
          <w:szCs w:val="40"/>
          <w:bdr w:val="none" w:color="auto" w:sz="0" w:space="0"/>
        </w:rPr>
        <w:t>一、参赛选手</w:t>
      </w:r>
    </w:p>
    <w:tbl>
      <w:tblPr>
        <w:tblW w:w="131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1"/>
        <w:gridCol w:w="2964"/>
        <w:gridCol w:w="3010"/>
        <w:gridCol w:w="2340"/>
        <w:gridCol w:w="2935"/>
      </w:tblGrid>
      <w:tr w14:paraId="36475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A6861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代码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C674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4554B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发行人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8B82C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规模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AF5B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成立日期</w:t>
            </w:r>
          </w:p>
        </w:tc>
      </w:tr>
      <w:tr w14:paraId="30542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32BB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378ADD"/>
                <w:lang w:val="en-US" w:eastAsia="zh-CN" w:bidi="ar"/>
              </w:rPr>
              <w:t>510300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02BB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沪深300ETF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D56C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华泰柏瑞基金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71CB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E74C3C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1565.4亿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EE3E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2012-05-04</w:t>
            </w:r>
          </w:p>
        </w:tc>
      </w:tr>
      <w:tr w14:paraId="09A36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0C30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E84393"/>
                <w:lang w:val="en-US" w:eastAsia="zh-CN" w:bidi="ar"/>
              </w:rPr>
              <w:t>510310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7945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沪深300ETF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CE798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易方达基金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4B56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1218.8亿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9B1E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2013-03-06</w:t>
            </w:r>
          </w:p>
        </w:tc>
      </w:tr>
      <w:tr w14:paraId="60A09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CFBC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E8A838"/>
                <w:lang w:val="en-US" w:eastAsia="zh-CN" w:bidi="ar"/>
              </w:rPr>
              <w:t>510330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4D7A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沪深300ETF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E4D7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华夏基金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23E8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848.3亿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466E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2012-12-25</w:t>
            </w:r>
          </w:p>
        </w:tc>
      </w:tr>
      <w:tr w14:paraId="60AC3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9B08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6C5CE7"/>
                <w:lang w:val="en-US" w:eastAsia="zh-CN" w:bidi="ar"/>
              </w:rPr>
              <w:t>159919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0BD93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沪深300ETF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02F8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嘉实基金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42CA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793.3亿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6DF0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2012-05-07</w:t>
            </w:r>
          </w:p>
        </w:tc>
      </w:tr>
      <w:tr w14:paraId="1D37C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F761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00B894"/>
                <w:lang w:val="en-US" w:eastAsia="zh-CN" w:bidi="ar"/>
              </w:rPr>
              <w:t>515330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3EAD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沪深300ETF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D355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天弘基金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5EFCB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78.0亿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3B15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2019-12-05</w:t>
            </w:r>
          </w:p>
        </w:tc>
      </w:tr>
    </w:tbl>
    <w:p w14:paraId="608581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78ADD" w:sz="18" w:space="8"/>
          <w:right w:val="none" w:color="auto" w:sz="0" w:space="0"/>
        </w:pBdr>
        <w:spacing w:before="560" w:beforeAutospacing="0" w:after="240" w:afterAutospacing="0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40"/>
          <w:szCs w:val="40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40"/>
          <w:szCs w:val="40"/>
          <w:bdr w:val="none" w:color="auto" w:sz="0" w:space="0"/>
        </w:rPr>
        <w:t>二、费率对比</w:t>
      </w:r>
    </w:p>
    <w:p w14:paraId="084975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费率是持有成本中唯一确定的部分，直接影响实际收益。天弘管理费0.5%，是其他4只的3倍多。</w:t>
      </w:r>
    </w:p>
    <w:tbl>
      <w:tblPr>
        <w:tblW w:w="131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70"/>
        <w:gridCol w:w="3113"/>
        <w:gridCol w:w="3118"/>
        <w:gridCol w:w="3119"/>
      </w:tblGrid>
      <w:tr w14:paraId="5498A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8FB2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ETF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E528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管理费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4B06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托管费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5908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合计</w:t>
            </w:r>
          </w:p>
        </w:tc>
      </w:tr>
      <w:tr w14:paraId="34B8D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B11B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378ADD"/>
                <w:lang w:val="en-US" w:eastAsia="zh-CN" w:bidi="ar"/>
              </w:rPr>
              <w:t>510300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华泰柏瑞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50BB3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9F1CD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0.05%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A867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0.20%</w:t>
            </w:r>
          </w:p>
        </w:tc>
      </w:tr>
      <w:tr w14:paraId="2218C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099D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E84393"/>
                <w:lang w:val="en-US" w:eastAsia="zh-CN" w:bidi="ar"/>
              </w:rPr>
              <w:t>510310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易方达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814B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983C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0.05%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93B6D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0.20%</w:t>
            </w:r>
          </w:p>
        </w:tc>
      </w:tr>
      <w:tr w14:paraId="79558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F649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E8A838"/>
                <w:lang w:val="en-US" w:eastAsia="zh-CN" w:bidi="ar"/>
              </w:rPr>
              <w:t>510330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华夏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F8D4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ADA8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0.05%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B08A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0.20%</w:t>
            </w:r>
          </w:p>
        </w:tc>
      </w:tr>
      <w:tr w14:paraId="5541B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658D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6C5CE7"/>
                <w:lang w:val="en-US" w:eastAsia="zh-CN" w:bidi="ar"/>
              </w:rPr>
              <w:t>159919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嘉实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87BA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85E4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0.05%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9B9A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0.20%</w:t>
            </w:r>
          </w:p>
        </w:tc>
      </w:tr>
      <w:tr w14:paraId="4B404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DF28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00B894"/>
                <w:lang w:val="en-US" w:eastAsia="zh-CN" w:bidi="ar"/>
              </w:rPr>
              <w:t>515330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天弘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B103E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0.50%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4DD6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0.10%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36EF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0.60%</w:t>
            </w:r>
          </w:p>
        </w:tc>
      </w:tr>
    </w:tbl>
    <w:p w14:paraId="1383F7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以持有100万元计算：天弘每年扣6000元管理费+托管费，其他4只只扣2000元。相差</w:t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4000元/年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。</w:t>
      </w:r>
    </w:p>
    <w:p w14:paraId="4F94F3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78ADD" w:sz="18" w:space="8"/>
          <w:right w:val="none" w:color="auto" w:sz="0" w:space="0"/>
        </w:pBdr>
        <w:spacing w:before="560" w:beforeAutospacing="0" w:after="240" w:afterAutospacing="0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40"/>
          <w:szCs w:val="40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40"/>
          <w:szCs w:val="40"/>
          <w:bdr w:val="none" w:color="auto" w:sz="0" w:space="0"/>
        </w:rPr>
        <w:t>三、跟踪误差（近1年）</w:t>
      </w:r>
    </w:p>
    <w:p w14:paraId="72E1C6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跟踪误差衡量ETF紧贴指数的程度。数值越小，跟踪越准。5只均控制在0.74%以内，差异极小。</w:t>
      </w:r>
    </w:p>
    <w:tbl>
      <w:tblPr>
        <w:tblW w:w="131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50"/>
        <w:gridCol w:w="6670"/>
      </w:tblGrid>
      <w:tr w14:paraId="4E771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05AD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ETF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4BCE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跟踪误差</w:t>
            </w:r>
          </w:p>
        </w:tc>
      </w:tr>
      <w:tr w14:paraId="4497E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B0A8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E84393"/>
                <w:lang w:val="en-US" w:eastAsia="zh-CN" w:bidi="ar"/>
              </w:rPr>
              <w:t>510310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易方达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122B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0.7345%</w:t>
            </w:r>
          </w:p>
        </w:tc>
      </w:tr>
      <w:tr w14:paraId="39D01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D48C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6C5CE7"/>
                <w:lang w:val="en-US" w:eastAsia="zh-CN" w:bidi="ar"/>
              </w:rPr>
              <w:t>159919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嘉实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3A4D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0.7357%</w:t>
            </w:r>
          </w:p>
        </w:tc>
      </w:tr>
      <w:tr w14:paraId="506C7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1909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E8A838"/>
                <w:lang w:val="en-US" w:eastAsia="zh-CN" w:bidi="ar"/>
              </w:rPr>
              <w:t>510330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华夏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9D93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0.7363%</w:t>
            </w:r>
          </w:p>
        </w:tc>
      </w:tr>
      <w:tr w14:paraId="72935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32ABC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378ADD"/>
                <w:lang w:val="en-US" w:eastAsia="zh-CN" w:bidi="ar"/>
              </w:rPr>
              <w:t>510300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华泰柏瑞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6271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0.7371%</w:t>
            </w:r>
          </w:p>
        </w:tc>
      </w:tr>
      <w:tr w14:paraId="0EC1B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B8C8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00B894"/>
                <w:lang w:val="en-US" w:eastAsia="zh-CN" w:bidi="ar"/>
              </w:rPr>
              <w:t>515330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天弘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3EF7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0.7376%</w:t>
            </w:r>
          </w:p>
        </w:tc>
      </w:tr>
    </w:tbl>
    <w:p w14:paraId="63CF0675">
      <w:pPr>
        <w:keepNext w:val="0"/>
        <w:keepLines w:val="0"/>
        <w:widowControl/>
        <w:suppressLineNumbers w:val="0"/>
        <w:pBdr>
          <w:top w:val="single" w:color="EEEEEE" w:sz="8" w:space="0"/>
          <w:left w:val="single" w:color="EEEEEE" w:sz="8" w:space="0"/>
          <w:bottom w:val="single" w:color="EEEEEE" w:sz="8" w:space="0"/>
          <w:right w:val="single" w:color="EEEEEE" w:sz="8" w:space="0"/>
        </w:pBdr>
        <w:shd w:val="clear" w:fill="FAFAFA"/>
        <w:spacing w:before="0" w:beforeAutospacing="0" w:after="160" w:afterAutospacing="0"/>
        <w:ind w:left="0" w:right="0" w:firstLine="0"/>
        <w:jc w:val="center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555555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555555"/>
          <w:spacing w:val="0"/>
          <w:kern w:val="0"/>
          <w:sz w:val="28"/>
          <w:szCs w:val="28"/>
          <w:bdr w:val="none" w:color="auto" w:sz="0" w:space="0"/>
          <w:shd w:val="clear" w:fill="FAFAFA"/>
          <w:lang w:val="en-US" w:eastAsia="zh-CN" w:bidi="ar"/>
        </w:rPr>
        <w:t>跟踪误差放大对比（Y轴从0.730%起始）</w:t>
      </w:r>
    </w:p>
    <w:p w14:paraId="2EFE40B4">
      <w:pPr>
        <w:keepNext w:val="0"/>
        <w:keepLines w:val="0"/>
        <w:widowControl/>
        <w:suppressLineNumbers w:val="0"/>
        <w:pBdr>
          <w:top w:val="single" w:color="EEEEEE" w:sz="8" w:space="16"/>
          <w:left w:val="single" w:color="EEEEEE" w:sz="8" w:space="16"/>
          <w:bottom w:val="single" w:color="EEEEEE" w:sz="8" w:space="16"/>
          <w:right w:val="single" w:color="EEEEEE" w:sz="8" w:space="16"/>
        </w:pBdr>
        <w:shd w:val="clear" w:fill="FAFAFA"/>
        <w:spacing w:before="480" w:beforeAutospacing="0" w:after="4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AFAFA"/>
          <w:lang w:val="en-US" w:eastAsia="zh-CN" w:bidi="ar"/>
        </w:rPr>
        <w:t>近1年跟踪误差（单位：%）Y轴放大：从0.730%开始0.7300.7330.7360.7390.7371%5103000.7345%5103100.7363%5103300.7357%1599190.7376%515330</w:t>
      </w:r>
    </w:p>
    <w:p w14:paraId="2AB48144">
      <w:pPr>
        <w:keepNext w:val="0"/>
        <w:keepLines w:val="0"/>
        <w:widowControl/>
        <w:suppressLineNumbers w:val="0"/>
        <w:pBdr>
          <w:top w:val="single" w:color="EEEEEE" w:sz="8" w:space="0"/>
          <w:left w:val="single" w:color="EEEEEE" w:sz="8" w:space="0"/>
          <w:bottom w:val="single" w:color="EEEEEE" w:sz="8" w:space="0"/>
          <w:right w:val="single" w:color="EEEEEE" w:sz="8" w:space="0"/>
        </w:pBdr>
        <w:shd w:val="clear" w:fill="FAFAFA"/>
        <w:spacing w:before="80" w:beforeAutospacing="0" w:after="0" w:afterAutospacing="0"/>
        <w:ind w:left="0" w:righ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88888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888888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最大差距仅0.0031个百分点，5只ETF跟踪能力高度同质</w:t>
      </w:r>
    </w:p>
    <w:p w14:paraId="3194DE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78ADD" w:sz="18" w:space="8"/>
          <w:right w:val="none" w:color="auto" w:sz="0" w:space="0"/>
        </w:pBdr>
        <w:spacing w:before="560" w:beforeAutospacing="0" w:after="240" w:afterAutospacing="0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40"/>
          <w:szCs w:val="40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40"/>
          <w:szCs w:val="40"/>
          <w:bdr w:val="none" w:color="auto" w:sz="0" w:space="0"/>
        </w:rPr>
        <w:t>四、规模与近5日净流入</w:t>
      </w:r>
    </w:p>
    <w:p w14:paraId="3B76D278">
      <w:pPr>
        <w:keepNext w:val="0"/>
        <w:keepLines w:val="0"/>
        <w:widowControl/>
        <w:suppressLineNumbers w:val="0"/>
        <w:pBdr>
          <w:top w:val="single" w:color="EEEEEE" w:sz="8" w:space="0"/>
          <w:left w:val="single" w:color="EEEEEE" w:sz="8" w:space="0"/>
          <w:bottom w:val="single" w:color="EEEEEE" w:sz="8" w:space="0"/>
          <w:right w:val="single" w:color="EEEEEE" w:sz="8" w:space="0"/>
        </w:pBdr>
        <w:shd w:val="clear" w:fill="FAFAFA"/>
        <w:spacing w:before="0" w:beforeAutospacing="0" w:after="160" w:afterAutospacing="0"/>
        <w:ind w:left="0" w:right="0" w:firstLine="0"/>
        <w:jc w:val="center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555555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555555"/>
          <w:spacing w:val="0"/>
          <w:kern w:val="0"/>
          <w:sz w:val="28"/>
          <w:szCs w:val="28"/>
          <w:bdr w:val="none" w:color="auto" w:sz="0" w:space="0"/>
          <w:shd w:val="clear" w:fill="FAFAFA"/>
          <w:lang w:val="en-US" w:eastAsia="zh-CN" w:bidi="ar"/>
        </w:rPr>
        <w:t>资产规模（柱状）+ 近5日净流入（合计）：华泰柏瑞规模最大，近5日净流入2704万</w:t>
      </w:r>
    </w:p>
    <w:p w14:paraId="1DEBB981">
      <w:pPr>
        <w:keepNext w:val="0"/>
        <w:keepLines w:val="0"/>
        <w:widowControl/>
        <w:suppressLineNumbers w:val="0"/>
        <w:pBdr>
          <w:top w:val="single" w:color="EEEEEE" w:sz="8" w:space="16"/>
          <w:left w:val="single" w:color="EEEEEE" w:sz="8" w:space="16"/>
          <w:bottom w:val="single" w:color="EEEEEE" w:sz="8" w:space="16"/>
          <w:right w:val="single" w:color="EEEEEE" w:sz="8" w:space="16"/>
        </w:pBdr>
        <w:shd w:val="clear" w:fill="FAFAFA"/>
        <w:spacing w:before="480" w:beforeAutospacing="0" w:after="4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AFAFA"/>
          <w:lang w:val="en-US" w:eastAsia="zh-CN" w:bidi="ar"/>
        </w:rPr>
        <w:t>资产规模与近5日净流入柱状=规模(亿) | 右侧=近5日净流入合计(万) | 来源：Wind/非凸科技华泰柏瑞易方达华夏嘉实天弘510300华泰柏瑞1565亿净流入 +2704万510310易方达1219亿净流出 2702万510330华夏848亿净流出 1103万159919嘉实793亿净流入 +1906万515330天弘78亿净流出 894万</w:t>
      </w:r>
    </w:p>
    <w:p w14:paraId="78956E0F">
      <w:pPr>
        <w:keepNext w:val="0"/>
        <w:keepLines w:val="0"/>
        <w:widowControl/>
        <w:suppressLineNumbers w:val="0"/>
        <w:pBdr>
          <w:top w:val="single" w:color="EEEEEE" w:sz="8" w:space="0"/>
          <w:left w:val="single" w:color="EEEEEE" w:sz="8" w:space="0"/>
          <w:bottom w:val="single" w:color="EEEEEE" w:sz="8" w:space="0"/>
          <w:right w:val="single" w:color="EEEEEE" w:sz="8" w:space="0"/>
        </w:pBdr>
        <w:shd w:val="clear" w:fill="FAFAFA"/>
        <w:spacing w:before="80" w:beforeAutospacing="0" w:after="0" w:afterAutospacing="0"/>
        <w:ind w:left="0" w:righ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88888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888888"/>
          <w:spacing w:val="0"/>
          <w:kern w:val="0"/>
          <w:sz w:val="24"/>
          <w:szCs w:val="24"/>
          <w:bdr w:val="none" w:color="auto" w:sz="0" w:space="0"/>
          <w:shd w:val="clear" w:fill="FAFAFA"/>
          <w:lang w:val="en-US" w:eastAsia="zh-CN" w:bidi="ar"/>
        </w:rPr>
        <w:t>净流入红色=资金流入，绿色=资金流出</w:t>
      </w:r>
    </w:p>
    <w:p w14:paraId="4EE1E6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78ADD" w:sz="18" w:space="8"/>
          <w:right w:val="none" w:color="auto" w:sz="0" w:space="0"/>
        </w:pBdr>
        <w:spacing w:before="560" w:beforeAutospacing="0" w:after="240" w:afterAutospacing="0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40"/>
          <w:szCs w:val="40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40"/>
          <w:szCs w:val="40"/>
          <w:bdr w:val="none" w:color="auto" w:sz="0" w:space="0"/>
        </w:rPr>
        <w:t>五、11维度指标说明书</w:t>
      </w:r>
    </w:p>
    <w:p w14:paraId="178E82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以下逐一解释每个指标的含义，以及数值高低对ETF意味着什么。</w:t>
      </w:r>
    </w:p>
    <w:p w14:paraId="41EB3276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8F9FA"/>
          <w:lang w:val="en-US" w:eastAsia="zh-CN" w:bidi="ar"/>
        </w:rPr>
        <w:t>1. 规模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888888"/>
          <w:spacing w:val="0"/>
          <w:kern w:val="0"/>
          <w:sz w:val="24"/>
          <w:szCs w:val="24"/>
          <w:bdr w:val="none" w:color="auto" w:sz="0" w:space="0"/>
          <w:shd w:val="clear" w:fill="F8F9FA"/>
          <w:lang w:val="en-US" w:eastAsia="zh-CN" w:bidi="ar"/>
        </w:rPr>
        <w:t>(Scale / AUM)</w:t>
      </w:r>
    </w:p>
    <w:p w14:paraId="746FA22E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定义：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ETF资产总规模 = 基金份额 × 单位净值。反映市场对该ETF的认可度和流动性。</w:t>
      </w:r>
    </w:p>
    <w:p w14:paraId="1903DE81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核心价值：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规模越大，流动性越好，买卖价差越小。但规模本身不代表收益好坏。5只中最大1565亿、最小78亿，差距20倍。</w:t>
      </w:r>
    </w:p>
    <w:p w14:paraId="5EDDA615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8F9FA"/>
          <w:lang w:val="en-US" w:eastAsia="zh-CN" w:bidi="ar"/>
        </w:rPr>
        <w:t>2. 管理费率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888888"/>
          <w:spacing w:val="0"/>
          <w:kern w:val="0"/>
          <w:sz w:val="24"/>
          <w:szCs w:val="24"/>
          <w:bdr w:val="none" w:color="auto" w:sz="0" w:space="0"/>
          <w:shd w:val="clear" w:fill="F8F9FA"/>
          <w:lang w:val="en-US" w:eastAsia="zh-CN" w:bidi="ar"/>
        </w:rPr>
        <w:t>(Management Fee)</w:t>
      </w:r>
    </w:p>
    <w:p w14:paraId="28CF7901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定义：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基金公司每年从基金资产中提取的管理费，按基金资产的一定比例收取。</w:t>
      </w:r>
    </w:p>
    <w:p w14:paraId="3CA9524C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核心价值：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这是你唯一能提前确定的持有成本。费率越低，长期复利损耗越小。天弘0.5% &gt; 其他4只0.15%。</w:t>
      </w:r>
    </w:p>
    <w:p w14:paraId="329A1A0C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8F9FA"/>
          <w:lang w:val="en-US" w:eastAsia="zh-CN" w:bidi="ar"/>
        </w:rPr>
        <w:t>3. 托管费率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888888"/>
          <w:spacing w:val="0"/>
          <w:kern w:val="0"/>
          <w:sz w:val="24"/>
          <w:szCs w:val="24"/>
          <w:bdr w:val="none" w:color="auto" w:sz="0" w:space="0"/>
          <w:shd w:val="clear" w:fill="F8F9FA"/>
          <w:lang w:val="en-US" w:eastAsia="zh-CN" w:bidi="ar"/>
        </w:rPr>
        <w:t>(Custodian Fee)</w:t>
      </w:r>
    </w:p>
    <w:p w14:paraId="0D0D121C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定义：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托管银行（如工商银行）保管基金资产收取的费用。</w:t>
      </w:r>
    </w:p>
    <w:p w14:paraId="4A2FD10C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核心价值：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与管理费性质相同，越低越好。天弘0.10% &gt; 其他4只0.05%。</w:t>
      </w:r>
    </w:p>
    <w:p w14:paraId="2EBC0CB9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8F9FA"/>
          <w:lang w:val="en-US" w:eastAsia="zh-CN" w:bidi="ar"/>
        </w:rPr>
        <w:t>4. 跟踪误差（近1年）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888888"/>
          <w:spacing w:val="0"/>
          <w:kern w:val="0"/>
          <w:sz w:val="24"/>
          <w:szCs w:val="24"/>
          <w:bdr w:val="none" w:color="auto" w:sz="0" w:space="0"/>
          <w:shd w:val="clear" w:fill="F8F9FA"/>
          <w:lang w:val="en-US" w:eastAsia="zh-CN" w:bidi="ar"/>
        </w:rPr>
        <w:t>(Tracking Error, 1Y)</w:t>
      </w:r>
    </w:p>
    <w:p w14:paraId="7A031BE2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定义：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衡量ETF每日涨跌幅与基准指数（沪深300）之间近1年的偏离标准差。单位：%。</w:t>
      </w:r>
    </w:p>
    <w:p w14:paraId="07026466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核心价值：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对ETF来说，目标是复制指数而非跑赢。跟踪误差越小，说明复制越精准。5只均在0.734%-0.738%之间，差异极小。</w:t>
      </w:r>
    </w:p>
    <w:p w14:paraId="0CD1E2F4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8F9FA"/>
          <w:lang w:val="en-US" w:eastAsia="zh-CN" w:bidi="ar"/>
        </w:rPr>
        <w:t>5. 年化波动率（近1年）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888888"/>
          <w:spacing w:val="0"/>
          <w:kern w:val="0"/>
          <w:sz w:val="24"/>
          <w:szCs w:val="24"/>
          <w:bdr w:val="none" w:color="auto" w:sz="0" w:space="0"/>
          <w:shd w:val="clear" w:fill="F8F9FA"/>
          <w:lang w:val="en-US" w:eastAsia="zh-CN" w:bidi="ar"/>
        </w:rPr>
        <w:t>(Annualized Volatility, 1Y)</w:t>
      </w:r>
    </w:p>
    <w:p w14:paraId="0D1840BC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定义：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衡量ETF近1年价格的波动幅度。数值越大，价格起伏越剧烈。单位：%。</w:t>
      </w:r>
    </w:p>
    <w:p w14:paraId="324D5FD9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核心价值：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反映风险水平。对同一指数的ETF来说，波动率应高度一致。5只均为11.78%-11.80%。</w:t>
      </w:r>
    </w:p>
    <w:p w14:paraId="6DBEB36F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8F9FA"/>
          <w:lang w:val="en-US" w:eastAsia="zh-CN" w:bidi="ar"/>
        </w:rPr>
        <w:t>6. 夏普比率（近1年）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888888"/>
          <w:spacing w:val="0"/>
          <w:kern w:val="0"/>
          <w:sz w:val="24"/>
          <w:szCs w:val="24"/>
          <w:bdr w:val="none" w:color="auto" w:sz="0" w:space="0"/>
          <w:shd w:val="clear" w:fill="F8F9FA"/>
          <w:lang w:val="en-US" w:eastAsia="zh-CN" w:bidi="ar"/>
        </w:rPr>
        <w:t>(Sharpe Ratio, 1Y)</w:t>
      </w:r>
    </w:p>
    <w:p w14:paraId="61A2E9EB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定义：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每承担一单位风险所获得的超额回报。公式：(收益率 - 无风险利率) ÷ 波动率。</w:t>
      </w:r>
    </w:p>
    <w:p w14:paraId="5DE213A6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核心价值：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越高越好，说明同等风险下赚得更多。5只在0.317-0.321之间，非常接近。易方达0.3209略高。</w:t>
      </w:r>
    </w:p>
    <w:p w14:paraId="4979E6CA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8F9FA"/>
          <w:lang w:val="en-US" w:eastAsia="zh-CN" w:bidi="ar"/>
        </w:rPr>
        <w:t>7. 最大回撤（近1年）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888888"/>
          <w:spacing w:val="0"/>
          <w:kern w:val="0"/>
          <w:sz w:val="24"/>
          <w:szCs w:val="24"/>
          <w:bdr w:val="none" w:color="auto" w:sz="0" w:space="0"/>
          <w:shd w:val="clear" w:fill="F8F9FA"/>
          <w:lang w:val="en-US" w:eastAsia="zh-CN" w:bidi="ar"/>
        </w:rPr>
        <w:t>(Maximum Drawdown, 1Y)</w:t>
      </w:r>
    </w:p>
    <w:p w14:paraId="6865EFE9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定义：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在过去1年内，从最高点跌到最低点的最大跌幅。单位：%。</w:t>
      </w:r>
    </w:p>
    <w:p w14:paraId="2010F4B5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核心价值：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回撤越小，持有体验越好。但对同一指数的ETF，回撤应基本一致。5只在-7.60%至-7.69%之间。</w:t>
      </w:r>
    </w:p>
    <w:p w14:paraId="614093E3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8F9FA"/>
          <w:lang w:val="en-US" w:eastAsia="zh-CN" w:bidi="ar"/>
        </w:rPr>
        <w:t>8. 贝塔（近1年）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888888"/>
          <w:spacing w:val="0"/>
          <w:kern w:val="0"/>
          <w:sz w:val="24"/>
          <w:szCs w:val="24"/>
          <w:bdr w:val="none" w:color="auto" w:sz="0" w:space="0"/>
          <w:shd w:val="clear" w:fill="F8F9FA"/>
          <w:lang w:val="en-US" w:eastAsia="zh-CN" w:bidi="ar"/>
        </w:rPr>
        <w:t>(Beta / β, 1Y)</w:t>
      </w:r>
    </w:p>
    <w:p w14:paraId="1F561183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定义：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衡量ETF相对基准指数的波动敏感度。基准沪深300的Beta=1。</w:t>
      </w:r>
    </w:p>
    <w:p w14:paraId="2B4C6692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核心价值：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Beta&gt;1说明比指数更"刺激"，跌时跌更多，涨时涨更多。Beta&lt;1说明相对稳健。对ETF来说，Beta应接近1。5只在0.952-0.953之间。</w:t>
      </w:r>
    </w:p>
    <w:p w14:paraId="45465B72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8F9FA"/>
          <w:lang w:val="en-US" w:eastAsia="zh-CN" w:bidi="ar"/>
        </w:rPr>
        <w:t>9. 阿尔法（近1年）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888888"/>
          <w:spacing w:val="0"/>
          <w:kern w:val="0"/>
          <w:sz w:val="24"/>
          <w:szCs w:val="24"/>
          <w:bdr w:val="none" w:color="auto" w:sz="0" w:space="0"/>
          <w:shd w:val="clear" w:fill="F8F9FA"/>
          <w:lang w:val="en-US" w:eastAsia="zh-CN" w:bidi="ar"/>
        </w:rPr>
        <w:t>(Alpha / α, 1Y)</w:t>
      </w:r>
    </w:p>
    <w:p w14:paraId="03E9BA65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定义：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实际收益减去基准收益和贝塔收益之后的超额收益。反映基金经理的选股/择时能力。</w:t>
      </w:r>
    </w:p>
    <w:p w14:paraId="68609DD1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核心价值：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对ETF来说，目标是跟踪指数，Alpha应接近0。Alpha&gt;0说明跑赢了指数。5只在0.157-0.163之间。</w:t>
      </w:r>
    </w:p>
    <w:p w14:paraId="46F758F4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8F9FA"/>
          <w:lang w:val="en-US" w:eastAsia="zh-CN" w:bidi="ar"/>
        </w:rPr>
        <w:t>10. 信息比率（近1年）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888888"/>
          <w:spacing w:val="0"/>
          <w:kern w:val="0"/>
          <w:sz w:val="24"/>
          <w:szCs w:val="24"/>
          <w:bdr w:val="none" w:color="auto" w:sz="0" w:space="0"/>
          <w:shd w:val="clear" w:fill="F8F9FA"/>
          <w:lang w:val="en-US" w:eastAsia="zh-CN" w:bidi="ar"/>
        </w:rPr>
        <w:t>(Information Ratio, 1Y)</w:t>
      </w:r>
    </w:p>
    <w:p w14:paraId="32E94A8D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定义：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超额收益 ÷ 跟踪误差。衡量每单位跟踪偏离带来的超额回报。</w:t>
      </w:r>
    </w:p>
    <w:p w14:paraId="32C3CF68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核心价值：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对主动基金来说是越高越好。但对ETF来说，目标是精准跟踪而非跑赢，信息比率应接近0。</w:t>
      </w:r>
    </w:p>
    <w:p w14:paraId="64718E80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8F9FA"/>
          <w:lang w:val="en-US" w:eastAsia="zh-CN" w:bidi="ar"/>
        </w:rPr>
        <w:t>11. 近3年回报率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888888"/>
          <w:spacing w:val="0"/>
          <w:kern w:val="0"/>
          <w:sz w:val="24"/>
          <w:szCs w:val="24"/>
          <w:bdr w:val="none" w:color="auto" w:sz="0" w:space="0"/>
          <w:shd w:val="clear" w:fill="F8F9FA"/>
          <w:lang w:val="en-US" w:eastAsia="zh-CN" w:bidi="ar"/>
        </w:rPr>
        <w:t>(3-Year Cumulative Return)</w:t>
      </w:r>
    </w:p>
    <w:p w14:paraId="1D080513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定义：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近3年ETF的总收益率（非年化），反映中长期表现。单位：%。</w:t>
      </w:r>
    </w:p>
    <w:p w14:paraId="047506E6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24" w:space="0"/>
          <w:bottom w:val="none" w:color="auto" w:sz="0" w:space="0"/>
          <w:right w:val="none" w:color="auto" w:sz="0" w:space="0"/>
        </w:pBdr>
        <w:shd w:val="clear" w:fill="F8F9FA"/>
        <w:spacing w:before="80" w:beforeAutospacing="0" w:after="80" w:afterAutospacing="0"/>
        <w:ind w:left="0" w:right="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核心价值：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kern w:val="0"/>
          <w:sz w:val="26"/>
          <w:szCs w:val="26"/>
          <w:bdr w:val="none" w:color="auto" w:sz="0" w:space="0"/>
          <w:shd w:val="clear" w:fill="F8F9FA"/>
          <w:lang w:val="en-US" w:eastAsia="zh-CN" w:bidi="ar"/>
        </w:rPr>
        <w:t>这是唯一一个中长期综合收益指标。但需注意：持有同一指数，回报率差异主要来自跟踪精度和分红处理。5只在28.33%-30.60%之间。</w:t>
      </w:r>
    </w:p>
    <w:p w14:paraId="387A04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00" w:afterAutospacing="0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78ADD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78ADD"/>
          <w:spacing w:val="0"/>
          <w:sz w:val="34"/>
          <w:szCs w:val="34"/>
          <w:bdr w:val="none" w:color="auto" w:sz="0" w:space="0"/>
        </w:rPr>
        <w:t>完整数据一览</w:t>
      </w:r>
    </w:p>
    <w:tbl>
      <w:tblPr>
        <w:tblW w:w="131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09"/>
        <w:gridCol w:w="1570"/>
        <w:gridCol w:w="1644"/>
        <w:gridCol w:w="1643"/>
        <w:gridCol w:w="1627"/>
        <w:gridCol w:w="1627"/>
      </w:tblGrid>
      <w:tr w14:paraId="406C1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1217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34C5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378ADD"/>
                <w:lang w:val="en-US" w:eastAsia="zh-CN" w:bidi="ar"/>
              </w:rPr>
              <w:t>510300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A48F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E84393"/>
                <w:lang w:val="en-US" w:eastAsia="zh-CN" w:bidi="ar"/>
              </w:rPr>
              <w:t>510310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DB0E2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E8A838"/>
                <w:lang w:val="en-US" w:eastAsia="zh-CN" w:bidi="ar"/>
              </w:rPr>
              <w:t>510330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B39A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6C5CE7"/>
                <w:lang w:val="en-US" w:eastAsia="zh-CN" w:bidi="ar"/>
              </w:rPr>
              <w:t>159919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86F0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fill="00B894"/>
                <w:lang w:val="en-US" w:eastAsia="zh-CN" w:bidi="ar"/>
              </w:rPr>
              <w:t>515330</w:t>
            </w:r>
          </w:p>
        </w:tc>
      </w:tr>
      <w:tr w14:paraId="27AA7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E866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规模(亿) / AUM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20809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E74C3C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1565.4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0440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1218.8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2926C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848.3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BE80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793.3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5E12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78.0</w:t>
            </w:r>
          </w:p>
        </w:tc>
      </w:tr>
      <w:tr w14:paraId="51F44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0160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管理费 / Mgmt Fee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110D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F02D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F53A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479C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C770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0.50%</w:t>
            </w:r>
          </w:p>
        </w:tc>
      </w:tr>
      <w:tr w14:paraId="492D5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F7F8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托管费 / Cust Fee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109B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0.05%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DEE8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0.05%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9103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0.05%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DE78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0.05%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0E4A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0.10%</w:t>
            </w:r>
          </w:p>
        </w:tc>
      </w:tr>
      <w:tr w14:paraId="550C9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7669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合计费率 / Total Fee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999A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0.20%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3D1C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0.20%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357D5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0.20%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01997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0.20%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A721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0.60%</w:t>
            </w:r>
          </w:p>
        </w:tc>
      </w:tr>
      <w:tr w14:paraId="23B6E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CF80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跟踪误差 / Tracking Error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5E9E9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0.7371%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2E90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0.7345%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8FEE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0.7363%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5D50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0.7357%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3CD1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0.7376%</w:t>
            </w:r>
          </w:p>
        </w:tc>
      </w:tr>
      <w:tr w14:paraId="17A1E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C2FA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年化波动率 / Ann. Volatility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198E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11.80%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6142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11.78%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5F59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11.78%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020C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11.78%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3B65C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11.78%</w:t>
            </w:r>
          </w:p>
        </w:tc>
      </w:tr>
      <w:tr w14:paraId="41612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D608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夏普比率 / Sharpe Ratio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F5E6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0.3187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512F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E74C3C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E74C3C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0.3209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93A8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0.3195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D894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0.3186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AB1D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0.3170</w:t>
            </w:r>
          </w:p>
        </w:tc>
      </w:tr>
      <w:tr w14:paraId="37D6A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3A6D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最大回撤(近1年) / Max Drawdown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0E015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-7.66%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40CB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E74C3C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E74C3C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-7.60%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8CA3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-7.64%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B9FE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-7.64%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AD013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-7.69%</w:t>
            </w:r>
          </w:p>
        </w:tc>
      </w:tr>
      <w:tr w14:paraId="5E96F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3762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贝塔 / Beta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650F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E74C3C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E74C3C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0.9533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1B4B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0.9524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7B24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0.9520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308A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0.9521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03C0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0.9517</w:t>
            </w:r>
          </w:p>
        </w:tc>
      </w:tr>
      <w:tr w14:paraId="089DA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4631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阿尔法 / Alpha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66FA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0.1600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3EFB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E74C3C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E74C3C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0.1632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8C05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0.1613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73308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0.1597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60195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0.1574</w:t>
            </w:r>
          </w:p>
        </w:tc>
      </w:tr>
      <w:tr w14:paraId="0A39A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BBF9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信息比率 / Info Ratio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81A8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0.1964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027F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0.2010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5BDC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0.1976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DC6DF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0.1956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6BDF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2980B9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0.1917</w:t>
            </w:r>
          </w:p>
        </w:tc>
      </w:tr>
      <w:tr w14:paraId="51B49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47E5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Style w:val="8"/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近3年回报率 / 3Y Return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04B3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28.62%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ADE6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E74C3C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E74C3C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30.60%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9833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28.65%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2DF1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28.41%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0E5D4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sz w:val="26"/>
                <w:szCs w:val="26"/>
              </w:rPr>
            </w:pP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28.33%</w:t>
            </w:r>
          </w:p>
        </w:tc>
      </w:tr>
    </w:tbl>
    <w:p w14:paraId="167BA0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beforeAutospacing="0" w:after="200" w:afterAutospacing="0"/>
        <w:ind w:left="0" w:right="0" w:firstLine="0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78ADD"/>
          <w:spacing w:val="0"/>
          <w:sz w:val="34"/>
          <w:szCs w:val="3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378ADD"/>
          <w:spacing w:val="0"/>
          <w:sz w:val="34"/>
          <w:szCs w:val="34"/>
          <w:bdr w:val="none" w:color="auto" w:sz="0" w:space="0"/>
        </w:rPr>
        <w:t>小结</w:t>
      </w:r>
    </w:p>
    <w:p w14:paraId="2C93B0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11个维度数据看完，5只沪深300ETF的风险收益特征高度一致。真正有差异的只有三点：</w:t>
      </w:r>
    </w:p>
    <w:p w14:paraId="6597E7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① 费率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 — 天弘0.6%是其他4只的3倍，每年多交4000元/100万。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br w:type="textWrapping"/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② 规模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 — 从78亿到1565亿，差距20倍，直接影响交易活跃度。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br w:type="textWrapping"/>
      </w:r>
      <w:r>
        <w:rPr>
          <w:rStyle w:val="8"/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③ 近3年回报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333333"/>
          <w:spacing w:val="0"/>
          <w:sz w:val="30"/>
          <w:szCs w:val="30"/>
          <w:bdr w:val="none" w:color="auto" w:sz="0" w:space="0"/>
        </w:rPr>
        <w:t> — 易方达30.60%最高，但差距不到2.3个百分点，几乎可忽略。</w:t>
      </w:r>
    </w:p>
    <w:p w14:paraId="6473473E">
      <w:pPr>
        <w:keepNext w:val="0"/>
        <w:keepLines w:val="0"/>
        <w:widowControl/>
        <w:suppressLineNumbers w:val="0"/>
        <w:pBdr>
          <w:top w:val="none" w:color="auto" w:sz="0" w:space="0"/>
          <w:left w:val="single" w:color="378ADD" w:sz="36" w:space="16"/>
          <w:bottom w:val="none" w:color="auto" w:sz="0" w:space="0"/>
          <w:right w:val="none" w:color="auto" w:sz="0" w:space="0"/>
        </w:pBdr>
        <w:shd w:val="clear" w:fill="F8F9FA"/>
        <w:spacing w:before="320" w:beforeAutospacing="0" w:after="320" w:afterAutospacing="0"/>
        <w:ind w:left="720" w:right="720" w:firstLine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8"/>
          <w:szCs w:val="28"/>
          <w:bdr w:val="single" w:color="378ADD" w:sz="36" w:space="0"/>
          <w:shd w:val="clear" w:fill="F8F9FA"/>
          <w:lang w:val="en-US" w:eastAsia="zh-CN" w:bidi="ar"/>
        </w:rPr>
        <w:t>声明：以上数据来源于Wind金融终端、非凸科技，仅供学习参考，不构成任何投资建议。ETF投资有风险，入市需谨慎。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8"/>
          <w:szCs w:val="28"/>
          <w:bdr w:val="single" w:color="378ADD" w:sz="36" w:space="0"/>
          <w:shd w:val="clear" w:fill="F8F9FA"/>
          <w:lang w:val="en-US" w:eastAsia="zh-CN" w:bidi="ar"/>
        </w:rPr>
        <w:br w:type="textWrapping"/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555555"/>
          <w:spacing w:val="0"/>
          <w:kern w:val="0"/>
          <w:sz w:val="28"/>
          <w:szCs w:val="28"/>
          <w:bdr w:val="single" w:color="378ADD" w:sz="36" w:space="0"/>
          <w:shd w:val="clear" w:fill="F8F9FA"/>
          <w:lang w:val="en-US" w:eastAsia="zh-CN" w:bidi="ar"/>
        </w:rPr>
        <w:t>数据更新日期：2026-05-31</w:t>
      </w:r>
    </w:p>
    <w:p w14:paraId="15F058F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D0B5A9"/>
    <w:rsid w:val="F6D0B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2026-06-01T15:05:00Z</dcterms:created>
  <dc:creator>WPS_510340155</dc:creator>
  <cp:lastModifiedBy>WPS_510340155</cp:lastModifiedBy>
  <dcterms:modified xsi:type="dcterms:W3CDTF">2026-06-01T15:06:19Z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24FE58C5B66BA2F7512F1D6A10E6769B_41</vt:lpwstr>
  </property>
</Properties>
</file>