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a professional email for your boss: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[Boss’s Email]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Email]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Project Technical Architecture &amp; Saudi Compliance Integration – GLM-4.6V &amp; Vector Database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[Boss’s Name],</w:t>
      </w:r>
    </w:p>
    <w:p>
      <w:pPr>
        <w:pStyle w:val="a0"/>
      </w:pPr>
      <w:r>
        <w:t xml:space="preserve">I am writing to provide a detailed overview of the technical architecture and compliance framework we are implementing for [Project Name]. Below is a breakdown of our AI/ML infrastructure and the specific Saudi Building Code (SBC) requirements we are integrating into our system.</w:t>
      </w:r>
    </w:p>
    <w:p>
      <w:r>
        <w:pict>
          <v:rect style="width:0;height:1.5pt" o:hralign="center" o:hrstd="t" o:hr="t"/>
        </w:pict>
      </w:r>
    </w:p>
    <w:bookmarkStart w:id="20" w:name="ai-model-glm-4.6v"/>
    <w:p>
      <w:pPr>
        <w:pStyle w:val="2"/>
      </w:pPr>
      <w:r>
        <w:t xml:space="preserve">1. AI Model: GLM-4.6V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Video and Image Analysis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GLM-4.6V is a multimodal large language model developed by Zhipu AI, capable of processing both visual and textual inputs. In our project, we are leveraging this model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Visual Inspection:</w:t>
      </w:r>
      <w:r>
        <w:t xml:space="preserve"> </w:t>
      </w:r>
      <w:r>
        <w:t xml:space="preserve">Analyzing construction site images and video feeds to detect deviations from approved designs, material defects, and safety hazards in real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Monitoring:</w:t>
      </w:r>
      <w:r>
        <w:t xml:space="preserve"> </w:t>
      </w:r>
      <w:r>
        <w:t xml:space="preserve">Comparing weekly video captures against project timelines to verify milestone completion.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Compliance Scanning:</w:t>
      </w:r>
      <w:r>
        <w:t xml:space="preserve"> </w:t>
      </w:r>
      <w:r>
        <w:t xml:space="preserve">Identifying personal protective equipment (PPE) usage, scaffolding integrity, and fire safety equipment placement from CCTV and drone footage.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Verification:</w:t>
      </w:r>
      <w:r>
        <w:t xml:space="preserve"> </w:t>
      </w:r>
      <w:r>
        <w:t xml:space="preserve">Extracting and cross-referencing information from scanned engineering drawings and as-built documents.</w:t>
      </w:r>
    </w:p>
    <w:p>
      <w:pPr>
        <w:pStyle w:val="FirstParagraph"/>
      </w:pPr>
      <w:r>
        <w:rPr>
          <w:b/>
          <w:bCs/>
        </w:rPr>
        <w:t xml:space="preserve">Why GLM-4.6V:</w:t>
      </w:r>
      <w:r>
        <w:t xml:space="preserve"> </w:t>
      </w:r>
      <w:r>
        <w:t xml:space="preserve">Its advanced vision-language capabilities allow it to understand complex construction scenes and provide contextual analysis beyond simple object detection, enabling more nuanced compliance checking.</w:t>
      </w:r>
    </w:p>
    <w:p>
      <w:r>
        <w:pict>
          <v:rect style="width:0;height:1.5pt" o:hralign="center" o:hrstd="t" o:hr="t"/>
        </w:pict>
      </w:r>
    </w:p>
    <w:bookmarkEnd w:id="20"/>
    <w:bookmarkStart w:id="21" w:name="vector-database-with-embedding-model"/>
    <w:p>
      <w:pPr>
        <w:pStyle w:val="2"/>
      </w:pPr>
      <w:r>
        <w:t xml:space="preserve">2. Vector Database with Embedding Model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Storing and Retrieving Saudi Compliance Rules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We are using a vector database (e.g., Pinecone, Weaviate, or Milvus) paired with an embedding model (e.g., BGE-M3, GTE, or E5) to create a semantic search engine for Saudi Building Code regulations.</w:t>
      </w:r>
    </w:p>
    <w:p>
      <w:pPr>
        <w:pStyle w:val="a0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Embedding Generation:</w:t>
      </w:r>
      <w:r>
        <w:t xml:space="preserve"> </w:t>
      </w:r>
      <w:r>
        <w:t xml:space="preserve">The embedding model converts each SBC clause, article, and technical requirement into high-dimensional numerical vectors that capture semantic meaning.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Vector Storage:</w:t>
      </w:r>
      <w:r>
        <w:t xml:space="preserve"> </w:t>
      </w:r>
      <w:r>
        <w:t xml:space="preserve">These vectors are stored in the vector database, organized by compliance category (Structural, Fire, Electrical, Plumbing).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Semantic Retrieval:</w:t>
      </w:r>
      <w:r>
        <w:t xml:space="preserve"> </w:t>
      </w:r>
      <w:r>
        <w:t xml:space="preserve">When GLM-4.6V detects a potential issue in an image/video, the system queries the vector database to retrieve the most relevant SBC clauses automatically—without relying on exact keyword matching.</w:t>
      </w:r>
    </w:p>
    <w:p>
      <w:pPr>
        <w:pStyle w:val="a0"/>
      </w:pPr>
      <w:r>
        <w:rPr>
          <w:b/>
          <w:bCs/>
        </w:rP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 Compliance Mapping:</w:t>
      </w:r>
      <w:r>
        <w:t xml:space="preserve"> </w:t>
      </w:r>
      <w:r>
        <w:t xml:space="preserve">Real-time association of visual findings with specific legal obligations.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Handles thousands of SBC articles efficiently.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Accuracy:</w:t>
      </w:r>
      <w:r>
        <w:t xml:space="preserve"> </w:t>
      </w:r>
      <w:r>
        <w:t xml:space="preserve">Semantic search understands context (e.g.,</w:t>
      </w:r>
      <w:r>
        <w:t xml:space="preserve"> </w:t>
      </w:r>
      <w:r>
        <w:t xml:space="preserve">“</w:t>
      </w:r>
      <w:r>
        <w:t xml:space="preserve">rebar spacing</w:t>
      </w:r>
      <w:r>
        <w:t xml:space="preserve">”</w:t>
      </w:r>
      <w:r>
        <w:t xml:space="preserve"> </w:t>
      </w:r>
      <w:r>
        <w:t xml:space="preserve">retrieves concrete structure rules even if the exact phrase isn’t used).</w:t>
      </w:r>
    </w:p>
    <w:p>
      <w:r>
        <w:pict>
          <v:rect style="width:0;height:1.5pt" o:hralign="center" o:hrstd="t" o:hr="t"/>
        </w:pict>
      </w:r>
    </w:p>
    <w:bookmarkEnd w:id="21"/>
    <w:bookmarkStart w:id="26" w:name="Xad324e22c326004e6efcc93ca0067ac8cbc60f4"/>
    <w:p>
      <w:pPr>
        <w:pStyle w:val="2"/>
      </w:pPr>
      <w:r>
        <w:t xml:space="preserve">3. Saudi Building Code (SBC) Compliance Requirements</w:t>
      </w:r>
    </w:p>
    <w:p>
      <w:pPr>
        <w:pStyle w:val="FirstParagraph"/>
      </w:pPr>
      <w:r>
        <w:t xml:space="preserve">We are integrating the</w:t>
      </w:r>
      <w:r>
        <w:t xml:space="preserve"> </w:t>
      </w:r>
      <w:r>
        <w:rPr>
          <w:b/>
          <w:bCs/>
        </w:rPr>
        <w:t xml:space="preserve">latest SBC 2024 edition</w:t>
      </w:r>
      <w:r>
        <w:t xml:space="preserve"> </w:t>
      </w:r>
      <w:r>
        <w:t xml:space="preserve">(effective 1 July 2025), which supersedes the 2018 version. Below are the specific codes mapped to our four compliance pillars:</w:t>
      </w:r>
    </w:p>
    <w:bookmarkStart w:id="22" w:name="a.-structural-safety"/>
    <w:p>
      <w:pPr>
        <w:pStyle w:val="3"/>
      </w:pPr>
      <w:r>
        <w:t xml:space="preserve">A. Structural Safety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SBC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 Being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Loading and 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calculations (live, dead, wind, seismic), load combinations, deflection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Testing and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protocols, material testing frequencies, inspection checkpoints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Soil and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Bearing capacity requirements, foundation types, soil investigation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Concrete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mix design (f’c + 8.5 MPa average strength), rebar spacing, hot weather concreting, durability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Masonry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Mortar specifications, wall reinforcement, lateral support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Steel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design, welding standards, corrosion protection, fireproofing</w:t>
            </w:r>
          </w:p>
        </w:tc>
      </w:tr>
    </w:tbl>
    <w:p>
      <w:pPr>
        <w:pStyle w:val="a0"/>
      </w:pPr>
      <w:r>
        <w:rPr>
          <w:b/>
          <w:bCs/>
        </w:rPr>
        <w:t xml:space="preserve">Compliance Focus:</w:t>
      </w:r>
      <w:r>
        <w:t xml:space="preserve"> </w:t>
      </w:r>
      <w:r>
        <w:t xml:space="preserve">Ensuring all structural elements in images/videos match approved engineering calculations and SBC 2024 seismic/loading standards.</w:t>
      </w:r>
    </w:p>
    <w:p>
      <w:r>
        <w:pict>
          <v:rect style="width:0;height:1.5pt" o:hralign="center" o:hrstd="t" o:hr="t"/>
        </w:pict>
      </w:r>
    </w:p>
    <w:bookmarkEnd w:id="22"/>
    <w:bookmarkStart w:id="23" w:name="b.-fire-safety"/>
    <w:p>
      <w:pPr>
        <w:pStyle w:val="3"/>
      </w:pPr>
      <w:r>
        <w:t xml:space="preserve">B. Fire Safety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SBC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 Being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resistance ratings by occupancy type, automatic sprinkler mandates, fire alarm/detection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201</w:t>
            </w:r>
            <w:r>
              <w:t xml:space="preserve"> </w:t>
            </w:r>
            <w:r>
              <w:t xml:space="preserve">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 of 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width calculations, travel distance limits, signage requirements, emergency lighting</w:t>
            </w:r>
          </w:p>
        </w:tc>
      </w:tr>
    </w:tbl>
    <w:p>
      <w:pPr>
        <w:pStyle w:val="a0"/>
      </w:pPr>
      <w:r>
        <w:rPr>
          <w:b/>
          <w:bCs/>
        </w:rPr>
        <w:t xml:space="preserve">SBC 2024 Updates Integrated:</w:t>
      </w:r>
      <w:r>
        <w:t xml:space="preserve"> </w:t>
      </w:r>
      <w:r>
        <w:t xml:space="preserve">- Aerial fire truck access exemptions for fully sprinklered Type IA/IB/IIA buildings (with Civil Defence approval)</w:t>
      </w:r>
      <w:r>
        <w:t xml:space="preserve"> </w:t>
      </w:r>
      <w:r>
        <w:t xml:space="preserve">- Mandatory sprinklers for open parking &gt;4,460 m²</w:t>
      </w:r>
      <w:r>
        <w:t xml:space="preserve"> </w:t>
      </w:r>
      <w:r>
        <w:t xml:space="preserve">- Business occupancy load factor revised from 9 m²/person to</w:t>
      </w:r>
      <w:r>
        <w:t xml:space="preserve"> </w:t>
      </w:r>
      <w:r>
        <w:rPr>
          <w:b/>
          <w:bCs/>
        </w:rPr>
        <w:t xml:space="preserve">14 m²/person</w:t>
      </w:r>
      <w:r>
        <w:t xml:space="preserve"> </w:t>
      </w:r>
      <w:r>
        <w:t xml:space="preserve">- Fire Command Center sizing based on total building area (not fixed 19 m²)</w:t>
      </w:r>
      <w:r>
        <w:t xml:space="preserve"> </w:t>
      </w:r>
      <w:r>
        <w:t xml:space="preserve">- Open stairways in atriums permitted as egress routes under specific conditions</w:t>
      </w:r>
    </w:p>
    <w:p>
      <w:pPr>
        <w:pStyle w:val="a0"/>
      </w:pPr>
      <w:r>
        <w:rPr>
          <w:b/>
          <w:bCs/>
        </w:rPr>
        <w:t xml:space="preserve">Compliance Focus:</w:t>
      </w:r>
      <w:r>
        <w:t xml:space="preserve"> </w:t>
      </w:r>
      <w:r>
        <w:t xml:space="preserve">Verifying fire suppression system installation, egress route accessibility, and fire-rated assembly integrity from visual data.</w:t>
      </w:r>
    </w:p>
    <w:p>
      <w:r>
        <w:pict>
          <v:rect style="width:0;height:1.5pt" o:hralign="center" o:hrstd="t" o:hr="t"/>
        </w:pict>
      </w:r>
    </w:p>
    <w:bookmarkEnd w:id="23"/>
    <w:bookmarkStart w:id="24" w:name="c.-electrical-installation"/>
    <w:p>
      <w:pPr>
        <w:pStyle w:val="3"/>
      </w:pPr>
      <w:r>
        <w:t xml:space="preserve">C. Electrical Installation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SBC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 Being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design and load calculations, grounding/bonding, panel board specifications, conduit/wiring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Conservation — Non-Residential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Lighting power density limits, HVAC controls, energy metering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Conservation — Residential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Insulation requirements, efficient lighting mandates</w:t>
            </w:r>
          </w:p>
        </w:tc>
      </w:tr>
    </w:tbl>
    <w:p>
      <w:pPr>
        <w:pStyle w:val="a0"/>
      </w:pPr>
      <w:r>
        <w:rPr>
          <w:b/>
          <w:bCs/>
        </w:rPr>
        <w:t xml:space="preserve">Compliance Focus:</w:t>
      </w:r>
      <w:r>
        <w:t xml:space="preserve"> </w:t>
      </w:r>
      <w:r>
        <w:t xml:space="preserve">Detecting proper cable routing, panel accessibility, grounding connections, and energy-efficient equipment installation in electrical room images and MEP routing videos.</w:t>
      </w:r>
    </w:p>
    <w:p>
      <w:r>
        <w:pict>
          <v:rect style="width:0;height:1.5pt" o:hralign="center" o:hrstd="t" o:hr="t"/>
        </w:pict>
      </w:r>
    </w:p>
    <w:bookmarkEnd w:id="24"/>
    <w:bookmarkStart w:id="25" w:name="d.-plumbing"/>
    <w:p>
      <w:pPr>
        <w:pStyle w:val="3"/>
      </w:pPr>
      <w:r>
        <w:t xml:space="preserve">D. Plumbing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SBC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 Being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Sanitary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supply pipe sizing, drainage fixture units, venting requirements, backflow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SBC 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Sewage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Septic system design, leach field requirements, greywater handling</w:t>
            </w:r>
          </w:p>
        </w:tc>
      </w:tr>
    </w:tbl>
    <w:p>
      <w:pPr>
        <w:pStyle w:val="a0"/>
      </w:pPr>
      <w:r>
        <w:rPr>
          <w:b/>
          <w:bCs/>
        </w:rPr>
        <w:t xml:space="preserve">Compliance Focus:</w:t>
      </w:r>
      <w:r>
        <w:t xml:space="preserve"> </w:t>
      </w:r>
      <w:r>
        <w:t xml:space="preserve">Identifying proper pipe slopes, vent stack configurations, fixture connections, and backflow preventer placement in plumbing rough-in images.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tegration-workflow"/>
    <w:p>
      <w:pPr>
        <w:pStyle w:val="2"/>
      </w:pPr>
      <w:r>
        <w:t xml:space="preserve">4. Integration Workflow</w:t>
      </w:r>
    </w:p>
    <w:p>
      <w:pPr>
        <w:pStyle w:val="SourceCode"/>
      </w:pPr>
      <w:r>
        <w:rPr>
          <w:rStyle w:val="VerbatimChar"/>
        </w:rPr>
        <w:t xml:space="preserve">[Construction Site Image/Video]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[GLM-4.6V Analysis]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[Detected Element/Defect]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[Vector Database Query]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[Semantic Retrieval of Relevant SBC 2024 Clauses]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[Automated Compliance Report]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Image showing rebar spacing in a concrete column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GLM-4.6V detects:</w:t>
      </w:r>
      <w:r>
        <w:t xml:space="preserve"> </w:t>
      </w:r>
      <w:r>
        <w:t xml:space="preserve">Rebar appears spaced at 200mm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Vector DB retrieves:</w:t>
      </w:r>
      <w:r>
        <w:t xml:space="preserve"> </w:t>
      </w:r>
      <w:r>
        <w:t xml:space="preserve">SBC 304 —</w:t>
      </w:r>
      <w:r>
        <w:t xml:space="preserve"> </w:t>
      </w:r>
      <w:r>
        <w:t xml:space="preserve">“</w:t>
      </w:r>
      <w:r>
        <w:t xml:space="preserve">Maximum spacing of primary reinforcement shall not exceed the lesser of 1.5h or 450mm</w:t>
      </w:r>
      <w:r>
        <w:t xml:space="preserve">”</w:t>
      </w:r>
      <w:r>
        <w:t xml:space="preserve"> </w:t>
      </w:r>
      <w:r>
        <w:t xml:space="preserve">(plus seismic provisions from SBC 301)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Compliance flag if spacing exceeds limits, with exact clause citation</w:t>
      </w:r>
    </w:p>
    <w:p>
      <w:r>
        <w:pict>
          <v:rect style="width:0;height:1.5pt" o:hralign="center" o:hrstd="t" o:hr="t"/>
        </w:pict>
      </w:r>
    </w:p>
    <w:bookmarkEnd w:id="27"/>
    <w:bookmarkStart w:id="29" w:name="official-source"/>
    <w:p>
      <w:pPr>
        <w:pStyle w:val="2"/>
      </w:pPr>
      <w:r>
        <w:t xml:space="preserve">5. Official Source</w:t>
      </w:r>
    </w:p>
    <w:p>
      <w:pPr>
        <w:pStyle w:val="FirstParagraph"/>
      </w:pPr>
      <w:r>
        <w:t xml:space="preserve">All SBC 2024 technical documents are maintained by the Saudi Building Code National Committee at:</w:t>
      </w:r>
      <w:r>
        <w:t xml:space="preserve"> </w:t>
      </w:r>
      <w:hyperlink r:id="rId28">
        <w:r>
          <w:rPr>
            <w:rStyle w:val="af"/>
            <w:b/>
            <w:bCs/>
          </w:rPr>
          <w:t xml:space="preserve">sbc.gov.sa/En/BC/Pages/BuildingCode/BC.aspx?year=2024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let me know if you require a deeper technical walkthrough of the vector embedding pipeline or a demonstration of the GLM-4.6V inspection capabilities.</w:t>
      </w:r>
    </w:p>
    <w:p>
      <w:pPr>
        <w:pStyle w:val="a0"/>
      </w:pPr>
      <w:r>
        <w:t xml:space="preserve">Best regards,</w:t>
      </w:r>
    </w:p>
    <w:p>
      <w:pPr>
        <w:pStyle w:val="a0"/>
      </w:pPr>
      <w:r>
        <w:t xml:space="preserve">[Your Name]</w:t>
      </w:r>
      <w:r>
        <w:t xml:space="preserve"> </w:t>
      </w:r>
      <w:r>
        <w:t xml:space="preserve">[Your Position]</w:t>
      </w:r>
      <w:r>
        <w:t xml:space="preserve"> </w:t>
      </w:r>
      <w:r>
        <w:t xml:space="preserve">[Project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 (if applicable):</w:t>
      </w:r>
      <w:r>
        <w:t xml:space="preserve"> </w:t>
      </w:r>
      <w:r>
        <w:t xml:space="preserve">- SBC 2024 Implementation Timeline</w:t>
      </w:r>
      <w:r>
        <w:t xml:space="preserve"> </w:t>
      </w:r>
      <w:r>
        <w:t xml:space="preserve">- Vector Database Schema Diagram</w:t>
      </w:r>
      <w:r>
        <w:t xml:space="preserve"> </w:t>
      </w:r>
      <w:r>
        <w:t xml:space="preserve">- GLM-4.6V Performance Benchmarks</w:t>
      </w:r>
    </w:p>
    <w:p>
      <w:r>
        <w:pict>
          <v:rect style="width:0;height:1.5pt" o:hralign="center" o:hrstd="t" o:hr="t"/>
        </w:pict>
      </w:r>
    </w:p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sbc.gov.sa/En/BC/Pages/BuildingCode/BC.aspx?year=20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sbc.gov.sa/En/BC/Pages/BuildingCode/BC.aspx?year=20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2026-05-15T05:44:50Z</dcterms:created>
  <dcterms:modified xsi:type="dcterms:W3CDTF">2026-05-15T05:44:50Z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ce6pdf8r3cp9kdck2g-19e27cf1-b682-850e-8000-0914afe55803-20260515054450","ReservedCode1":"","ContentPropagator":"001191110108MACG2KBH8F20000","PropagateID":"d1ce6pdf8r3cp9kdck2g-19e27cf1-b682-850e-8000-0914afe55803-20260515054450","ReservedCode2":""}</vt:lpwstr>
  </property>
</Properties>
</file>