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001.pdf</w:t>
      </w:r>
    </w:p>
    <w:p>
      <w:pPr>
        <w:pStyle w:val="FirstParagraph"/>
      </w:pPr>
      <w:r>
        <w:t xml:space="preserve">extract the rules</w:t>
      </w:r>
    </w:p>
    <w:p>
      <w:r>
        <w:pict>
          <v:rect style="width:0;height:1.5pt" o:hralign="center" o:hrstd="t" o:hr="t"/>
        </w:pict>
      </w:r>
    </w:p>
    <w:p>
      <w:pPr>
        <w:pStyle w:val="FirstParagraph"/>
      </w:pPr>
      <w:r>
        <w:rPr>
          <w:b/>
          <w:bCs/>
        </w:rPr>
        <w:t xml:space="preserve">Kimi:</w:t>
      </w:r>
    </w:p>
    <w:p>
      <w:pPr>
        <w:pStyle w:val="a0"/>
      </w:pPr>
      <w:r>
        <w:t xml:space="preserve">I’ll extract the rules from this Saudi Building Code document for you.</w:t>
      </w:r>
    </w:p>
    <w:p>
      <w:r>
        <w:pict>
          <v:rect style="width:0;height:1.5pt" o:hralign="center" o:hrstd="t" o:hr="t"/>
        </w:pict>
      </w:r>
    </w:p>
    <w:bookmarkStart w:id="55" w:name="Xf6321dea0d2fa5156532103d86471e60f31bfb8"/>
    <w:p>
      <w:pPr>
        <w:pStyle w:val="1"/>
      </w:pPr>
      <w:r>
        <w:t xml:space="preserve">Rules Extracted from the Implementing Regulations of the Saudi Building Code Application Law</w:t>
      </w:r>
    </w:p>
    <w:bookmarkStart w:id="20" w:name="chapter-i-definitions-articles-1"/>
    <w:p>
      <w:pPr>
        <w:pStyle w:val="2"/>
      </w:pPr>
      <w:r>
        <w:t xml:space="preserve">Chapter I: Definitions (Articles 1)</w:t>
      </w:r>
    </w:p>
    <w:p>
      <w:pPr>
        <w:pStyle w:val="FirstParagraph"/>
      </w:pPr>
      <w:r>
        <w:rPr>
          <w:b/>
          <w:bCs/>
        </w:rPr>
        <w:t xml:space="preserve">Key Definitions:</w:t>
      </w:r>
      <w:r>
        <w:t xml:space="preserve"> </w:t>
      </w:r>
      <w:r>
        <w:t xml:space="preserve">-</w:t>
      </w:r>
      <w:r>
        <w:t xml:space="preserve"> </w:t>
      </w:r>
      <w:r>
        <w:rPr>
          <w:b/>
          <w:bCs/>
        </w:rPr>
        <w:t xml:space="preserve">Code</w:t>
      </w:r>
      <w:r>
        <w:t xml:space="preserve">: The Saudi Building Code — a set of provisions, requirements, implementing regulations and annexes related to building and construction to ensure public safety and health.</w:t>
      </w:r>
      <w:r>
        <w:t xml:space="preserve"> </w:t>
      </w:r>
      <w:r>
        <w:t xml:space="preserve">-</w:t>
      </w:r>
      <w:r>
        <w:t xml:space="preserve"> </w:t>
      </w:r>
      <w:r>
        <w:rPr>
          <w:b/>
          <w:bCs/>
        </w:rPr>
        <w:t xml:space="preserve">Requirements</w:t>
      </w:r>
      <w:r>
        <w:t xml:space="preserve">: Design details and methods of implementation, construction, and identification of standards that are the basis and reference in application.</w:t>
      </w:r>
      <w:r>
        <w:t xml:space="preserve"> </w:t>
      </w:r>
      <w:r>
        <w:t xml:space="preserve">-</w:t>
      </w:r>
      <w:r>
        <w:t xml:space="preserve"> </w:t>
      </w:r>
      <w:r>
        <w:rPr>
          <w:b/>
          <w:bCs/>
        </w:rPr>
        <w:t xml:space="preserve">Provisions</w:t>
      </w:r>
      <w:r>
        <w:t xml:space="preserve">: Procedures and controls of building licenses, preparation of engineering plans, and their requirements for buildings and installations.</w:t>
      </w:r>
      <w:r>
        <w:t xml:space="preserve"> </w:t>
      </w:r>
      <w:r>
        <w:t xml:space="preserve">-</w:t>
      </w:r>
      <w:r>
        <w:t xml:space="preserve"> </w:t>
      </w:r>
      <w:r>
        <w:rPr>
          <w:b/>
          <w:bCs/>
        </w:rPr>
        <w:t xml:space="preserve">Approved Designer</w:t>
      </w:r>
      <w:r>
        <w:t xml:space="preserve">: Natural or legal person licensed by the concerned authority to carry out studies and designs.</w:t>
      </w:r>
      <w:r>
        <w:t xml:space="preserve"> </w:t>
      </w:r>
      <w:r>
        <w:t xml:space="preserve">-</w:t>
      </w:r>
      <w:r>
        <w:t xml:space="preserve"> </w:t>
      </w:r>
      <w:r>
        <w:rPr>
          <w:b/>
          <w:bCs/>
        </w:rPr>
        <w:t xml:space="preserve">Supervising Designer</w:t>
      </w:r>
      <w:r>
        <w:t xml:space="preserve">: Licensed person contracted by the owner to supervise implementation according to approved licenses and designs.</w:t>
      </w:r>
      <w:r>
        <w:t xml:space="preserve"> </w:t>
      </w:r>
      <w:r>
        <w:t xml:space="preserve">-</w:t>
      </w:r>
      <w:r>
        <w:t xml:space="preserve"> </w:t>
      </w:r>
      <w:r>
        <w:rPr>
          <w:b/>
          <w:bCs/>
        </w:rPr>
        <w:t xml:space="preserve">Contractor</w:t>
      </w:r>
      <w:r>
        <w:t xml:space="preserve">: Licensed natural or legal person engaged to carry out construction, installation, operation or maintenance.</w:t>
      </w:r>
      <w:r>
        <w:t xml:space="preserve"> </w:t>
      </w:r>
      <w:r>
        <w:t xml:space="preserve">-</w:t>
      </w:r>
      <w:r>
        <w:t xml:space="preserve"> </w:t>
      </w:r>
      <w:r>
        <w:rPr>
          <w:b/>
          <w:bCs/>
        </w:rPr>
        <w:t xml:space="preserve">Hidden Defect</w:t>
      </w:r>
      <w:r>
        <w:t xml:space="preserve">: Any defect weakening strength/stability of the building, or due to errors in design, materials, location or construction, not discovered at issuance of occupancy certificate.</w:t>
      </w:r>
      <w:r>
        <w:t xml:space="preserve"> </w:t>
      </w:r>
      <w:r>
        <w:t xml:space="preserve">-</w:t>
      </w:r>
      <w:r>
        <w:t xml:space="preserve"> </w:t>
      </w:r>
      <w:r>
        <w:rPr>
          <w:b/>
          <w:bCs/>
        </w:rPr>
        <w:t xml:space="preserve">Inspection</w:t>
      </w:r>
      <w:r>
        <w:t xml:space="preserve">: Examination of product, design, procedure or construction to identify compliance with code requirements.</w:t>
      </w:r>
      <w:r>
        <w:t xml:space="preserve"> </w:t>
      </w:r>
      <w:r>
        <w:t xml:space="preserve">-</w:t>
      </w:r>
      <w:r>
        <w:t xml:space="preserve"> </w:t>
      </w:r>
      <w:r>
        <w:rPr>
          <w:b/>
          <w:bCs/>
        </w:rPr>
        <w:t xml:space="preserve">Building License</w:t>
      </w:r>
      <w:r>
        <w:t xml:space="preserve">: Written permit issued by the Municipal Body.</w:t>
      </w:r>
      <w:r>
        <w:t xml:space="preserve"> </w:t>
      </w:r>
      <w:r>
        <w:t xml:space="preserve">-</w:t>
      </w:r>
      <w:r>
        <w:t xml:space="preserve"> </w:t>
      </w:r>
      <w:r>
        <w:rPr>
          <w:b/>
          <w:bCs/>
        </w:rPr>
        <w:t xml:space="preserve">Certificate of Occupancy</w:t>
      </w:r>
      <w:r>
        <w:t xml:space="preserve">: Permission to occupy the building issued by the Municipal Body after ensuring code conformity.</w:t>
      </w:r>
      <w:r>
        <w:t xml:space="preserve"> </w:t>
      </w:r>
      <w:r>
        <w:t xml:space="preserve">-</w:t>
      </w:r>
      <w:r>
        <w:t xml:space="preserve"> </w:t>
      </w:r>
      <w:r>
        <w:rPr>
          <w:b/>
          <w:bCs/>
        </w:rPr>
        <w:t xml:space="preserve">Violation</w:t>
      </w:r>
      <w:r>
        <w:t xml:space="preserve">: Any intentional or unintentional infringement of the code, its application law, or its regulations.</w:t>
      </w:r>
      <w:r>
        <w:t xml:space="preserve"> </w:t>
      </w:r>
      <w:r>
        <w:t xml:space="preserve">-</w:t>
      </w:r>
      <w:r>
        <w:t xml:space="preserve"> </w:t>
      </w:r>
      <w:r>
        <w:rPr>
          <w:b/>
          <w:bCs/>
        </w:rPr>
        <w:t xml:space="preserve">Hazardous Violation</w:t>
      </w:r>
      <w:r>
        <w:t xml:space="preserve">: Any violation which, if not removed or corrected, may jeopardize lives or property, or directly cause damage to human health or the environment.</w:t>
      </w:r>
    </w:p>
    <w:p>
      <w:r>
        <w:pict>
          <v:rect style="width:0;height:1.5pt" o:hralign="center" o:hrstd="t" o:hr="t"/>
        </w:pict>
      </w:r>
    </w:p>
    <w:bookmarkEnd w:id="20"/>
    <w:bookmarkStart w:id="21" w:name="Xa8f5935d868b39d4434ddea6743145535146c61"/>
    <w:p>
      <w:pPr>
        <w:pStyle w:val="2"/>
      </w:pPr>
      <w:r>
        <w:t xml:space="preserve">Chapter II: Objective and Scope (Articles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Rule</w:t>
            </w:r>
          </w:p>
        </w:tc>
      </w:tr>
      <w:tr>
        <w:tc>
          <w:tcPr/>
          <w:p>
            <w:pPr>
              <w:pStyle w:val="Compact"/>
              <w:jc w:val="left"/>
            </w:pPr>
            <w:r>
              <w:rPr>
                <w:b/>
                <w:bCs/>
              </w:rPr>
              <w:t xml:space="preserve">Article 2</w:t>
            </w:r>
          </w:p>
        </w:tc>
        <w:tc>
          <w:tcPr/>
          <w:p>
            <w:pPr>
              <w:pStyle w:val="Compact"/>
              <w:jc w:val="left"/>
            </w:pPr>
            <w:r>
              <w:t xml:space="preserve">The code aims to establish</w:t>
            </w:r>
            <w:r>
              <w:t xml:space="preserve"> </w:t>
            </w:r>
            <w:r>
              <w:rPr>
                <w:b/>
                <w:bCs/>
              </w:rPr>
              <w:t xml:space="preserve">minimum provisions and requirements</w:t>
            </w:r>
            <w:r>
              <w:t xml:space="preserve"> </w:t>
            </w:r>
            <w:r>
              <w:t xml:space="preserve">achieving safety and public health through durability and stability of buildings, full access, healthy environment, adequate lighting and ventilation, rationalization of water and energy, and protection from fire, earthquakes and other risks.</w:t>
            </w:r>
          </w:p>
        </w:tc>
      </w:tr>
      <w:tr>
        <w:tc>
          <w:tcPr/>
          <w:p>
            <w:pPr>
              <w:pStyle w:val="Compact"/>
              <w:jc w:val="left"/>
            </w:pPr>
            <w:r>
              <w:rPr>
                <w:b/>
                <w:bCs/>
              </w:rPr>
              <w:t xml:space="preserve">Article 3</w:t>
            </w:r>
          </w:p>
        </w:tc>
        <w:tc>
          <w:tcPr/>
          <w:p>
            <w:pPr>
              <w:pStyle w:val="Compact"/>
              <w:jc w:val="left"/>
            </w:pPr>
            <w:r>
              <w:t xml:space="preserve">The code consists of 14 components: (1) Administrative requirements; (2) Architectural provisions; (3) Structural provisions; (4) Electrical provisions; (5) Mechanical provisions; (6) Water and energy conservation; (7) Sanitary and water rationalization; (8) Fire protection; (9) Earthquake protection; (10) Existing and historical buildings; (11) Green building provisions; (12) Residential buildings provisions; (13) Reference Standard Specifications; (14) Any other provisions issued by the National Committee.</w:t>
            </w:r>
          </w:p>
        </w:tc>
      </w:tr>
      <w:tr>
        <w:tc>
          <w:tcPr/>
          <w:p>
            <w:pPr>
              <w:pStyle w:val="Compact"/>
              <w:jc w:val="left"/>
            </w:pPr>
            <w:r>
              <w:rPr>
                <w:b/>
                <w:bCs/>
              </w:rPr>
              <w:t xml:space="preserve">Article 4</w:t>
            </w:r>
          </w:p>
        </w:tc>
        <w:tc>
          <w:tcPr/>
          <w:p>
            <w:pPr>
              <w:pStyle w:val="Compact"/>
              <w:jc w:val="left"/>
            </w:pPr>
            <w:r>
              <w:t xml:space="preserve">The provisions and requirements of the Code shall constitute an</w:t>
            </w:r>
            <w:r>
              <w:t xml:space="preserve"> </w:t>
            </w:r>
            <w:r>
              <w:rPr>
                <w:b/>
                <w:bCs/>
              </w:rPr>
              <w:t xml:space="preserve">integral unit</w:t>
            </w:r>
            <w:r>
              <w:t xml:space="preserve"> </w:t>
            </w:r>
            <w:r>
              <w:t xml:space="preserve">for application.</w:t>
            </w:r>
          </w:p>
        </w:tc>
      </w:tr>
      <w:tr>
        <w:tc>
          <w:tcPr/>
          <w:p>
            <w:pPr>
              <w:pStyle w:val="Compact"/>
              <w:jc w:val="left"/>
            </w:pPr>
            <w:r>
              <w:rPr>
                <w:b/>
                <w:bCs/>
              </w:rPr>
              <w:t xml:space="preserve">Article 5</w:t>
            </w:r>
          </w:p>
        </w:tc>
        <w:tc>
          <w:tcPr/>
          <w:p>
            <w:pPr>
              <w:pStyle w:val="Compact"/>
              <w:jc w:val="left"/>
            </w:pPr>
            <w:r>
              <w:t xml:space="preserve">The code applies to</w:t>
            </w:r>
            <w:r>
              <w:t xml:space="preserve"> </w:t>
            </w:r>
            <w:r>
              <w:rPr>
                <w:b/>
                <w:bCs/>
              </w:rPr>
              <w:t xml:space="preserve">all building and construction works</w:t>
            </w:r>
            <w:r>
              <w:t xml:space="preserve"> </w:t>
            </w:r>
            <w:r>
              <w:t xml:space="preserve">in public and private sectors according to building classification, including design, implementation, operation, maintenance, modification, restoration, alteration of use, expansion, and removal. Application follows staged implementation (see Annex). By end of implementation stages, code applies to</w:t>
            </w:r>
            <w:r>
              <w:t xml:space="preserve"> </w:t>
            </w:r>
            <w:r>
              <w:rPr>
                <w:b/>
                <w:bCs/>
              </w:rPr>
              <w:t xml:space="preserve">all types of buildings classified</w:t>
            </w:r>
            <w:r>
              <w:t xml:space="preserve">.</w:t>
            </w:r>
          </w:p>
        </w:tc>
      </w:tr>
      <w:tr>
        <w:tc>
          <w:tcPr/>
          <w:p>
            <w:pPr>
              <w:pStyle w:val="Compact"/>
              <w:jc w:val="left"/>
            </w:pPr>
            <w:r>
              <w:rPr>
                <w:b/>
                <w:bCs/>
              </w:rPr>
              <w:t xml:space="preserve">Article 6</w:t>
            </w:r>
          </w:p>
        </w:tc>
        <w:tc>
          <w:tcPr/>
          <w:p>
            <w:pPr>
              <w:pStyle w:val="Compact"/>
              <w:jc w:val="left"/>
            </w:pPr>
            <w:r>
              <w:t xml:space="preserve">Provisions relating to</w:t>
            </w:r>
            <w:r>
              <w:t xml:space="preserve"> </w:t>
            </w:r>
            <w:r>
              <w:rPr>
                <w:b/>
                <w:bCs/>
              </w:rPr>
              <w:t xml:space="preserve">thermal insulation</w:t>
            </w:r>
            <w:r>
              <w:t xml:space="preserve"> </w:t>
            </w:r>
            <w:r>
              <w:t xml:space="preserve">and</w:t>
            </w:r>
            <w:r>
              <w:t xml:space="preserve"> </w:t>
            </w:r>
            <w:r>
              <w:rPr>
                <w:b/>
                <w:bCs/>
              </w:rPr>
              <w:t xml:space="preserve">fire protection systems</w:t>
            </w:r>
            <w:r>
              <w:t xml:space="preserve"> </w:t>
            </w:r>
            <w:r>
              <w:t xml:space="preserve">apply to</w:t>
            </w:r>
            <w:r>
              <w:t xml:space="preserve"> </w:t>
            </w:r>
            <w:r>
              <w:rPr>
                <w:b/>
                <w:bCs/>
              </w:rPr>
              <w:t xml:space="preserve">all construction works immediately</w:t>
            </w:r>
            <w:r>
              <w:t xml:space="preserve"> </w:t>
            </w:r>
            <w:r>
              <w:t xml:space="preserve">after entry into force of the law,</w:t>
            </w:r>
            <w:r>
              <w:t xml:space="preserve"> </w:t>
            </w:r>
            <w:r>
              <w:rPr>
                <w:b/>
                <w:bCs/>
              </w:rPr>
              <w:t xml:space="preserve">without considering</w:t>
            </w:r>
            <w:r>
              <w:t xml:space="preserve"> </w:t>
            </w:r>
            <w:r>
              <w:t xml:space="preserve">the staged implementation phases.</w:t>
            </w:r>
          </w:p>
        </w:tc>
      </w:tr>
      <w:tr>
        <w:tc>
          <w:tcPr/>
          <w:p>
            <w:pPr>
              <w:pStyle w:val="Compact"/>
              <w:jc w:val="left"/>
            </w:pPr>
            <w:r>
              <w:rPr>
                <w:b/>
                <w:bCs/>
              </w:rPr>
              <w:t xml:space="preserve">Article 7</w:t>
            </w:r>
          </w:p>
        </w:tc>
        <w:tc>
          <w:tcPr/>
          <w:p>
            <w:pPr>
              <w:pStyle w:val="Compact"/>
              <w:jc w:val="left"/>
            </w:pPr>
            <w:r>
              <w:t xml:space="preserve">Application to</w:t>
            </w:r>
            <w:r>
              <w:t xml:space="preserve"> </w:t>
            </w:r>
            <w:r>
              <w:rPr>
                <w:b/>
                <w:bCs/>
              </w:rPr>
              <w:t xml:space="preserve">existing buildings</w:t>
            </w:r>
            <w:r>
              <w:t xml:space="preserve"> </w:t>
            </w:r>
            <w:r>
              <w:t xml:space="preserve">shall be according to possibility of application, based on a</w:t>
            </w:r>
            <w:r>
              <w:t xml:space="preserve"> </w:t>
            </w:r>
            <w:r>
              <w:rPr>
                <w:b/>
                <w:bCs/>
              </w:rPr>
              <w:t xml:space="preserve">technical report from a certified engineering office</w:t>
            </w:r>
            <w:r>
              <w:t xml:space="preserve"> </w:t>
            </w:r>
            <w:r>
              <w:t xml:space="preserve">containing possible engineering solutions, and according to the code.</w:t>
            </w:r>
          </w:p>
        </w:tc>
      </w:tr>
    </w:tbl>
    <w:p>
      <w:r>
        <w:pict>
          <v:rect style="width:0;height:1.5pt" o:hralign="center" o:hrstd="t" o:hr="t"/>
        </w:pict>
      </w:r>
    </w:p>
    <w:bookmarkEnd w:id="21"/>
    <w:bookmarkStart w:id="30" w:name="Xd4db279e71d671e3032cb5cf047b57d570ee87d"/>
    <w:p>
      <w:pPr>
        <w:pStyle w:val="2"/>
      </w:pPr>
      <w:r>
        <w:t xml:space="preserve">Chapter III: Duties of Relative Authorities and Issuance of Building Licenses (Articles 8–15)</w:t>
      </w:r>
    </w:p>
    <w:bookmarkStart w:id="22" w:name="Xcd92c2b206cf39ce1676fc74e1795e36c523f95"/>
    <w:p>
      <w:pPr>
        <w:pStyle w:val="3"/>
      </w:pPr>
      <w:r>
        <w:t xml:space="preserve">Article 8 — Ministry and Municipal Body Duties:</w:t>
      </w:r>
    </w:p>
    <w:p>
      <w:pPr>
        <w:pStyle w:val="Compact"/>
        <w:numPr>
          <w:ilvl w:val="0"/>
          <w:numId w:val="1002"/>
        </w:numPr>
      </w:pPr>
      <w:r>
        <w:t xml:space="preserve">Prepare required survey reports according to guideline plan requirements.</w:t>
      </w:r>
    </w:p>
    <w:p>
      <w:pPr>
        <w:pStyle w:val="Compact"/>
        <w:numPr>
          <w:ilvl w:val="0"/>
          <w:numId w:val="1002"/>
        </w:numPr>
      </w:pPr>
      <w:r>
        <w:t xml:space="preserve">Issue building, restoration, destruction, modification and other licenses.</w:t>
      </w:r>
    </w:p>
    <w:p>
      <w:pPr>
        <w:pStyle w:val="Compact"/>
        <w:numPr>
          <w:ilvl w:val="0"/>
          <w:numId w:val="1002"/>
        </w:numPr>
      </w:pPr>
      <w:r>
        <w:t xml:space="preserve">Follow up and monitor code implementation.</w:t>
      </w:r>
    </w:p>
    <w:p>
      <w:pPr>
        <w:pStyle w:val="Compact"/>
        <w:numPr>
          <w:ilvl w:val="0"/>
          <w:numId w:val="1002"/>
        </w:numPr>
      </w:pPr>
      <w:r>
        <w:t xml:space="preserve">Follow-up inspections and testing works during construction.</w:t>
      </w:r>
    </w:p>
    <w:p>
      <w:pPr>
        <w:pStyle w:val="Compact"/>
        <w:numPr>
          <w:ilvl w:val="0"/>
          <w:numId w:val="1002"/>
        </w:numPr>
      </w:pPr>
      <w:r>
        <w:t xml:space="preserve">Issue the occupancy Certificate after building completion and ensuring code conformity.</w:t>
      </w:r>
    </w:p>
    <w:p>
      <w:pPr>
        <w:pStyle w:val="Compact"/>
        <w:numPr>
          <w:ilvl w:val="0"/>
          <w:numId w:val="1002"/>
        </w:numPr>
      </w:pPr>
      <w:r>
        <w:t xml:space="preserve">Approve delivery of permanent and temporary public utilities.</w:t>
      </w:r>
    </w:p>
    <w:p>
      <w:pPr>
        <w:pStyle w:val="Compact"/>
        <w:numPr>
          <w:ilvl w:val="0"/>
          <w:numId w:val="1002"/>
        </w:numPr>
      </w:pPr>
      <w:r>
        <w:t xml:space="preserve">Keep records of building, monitoring, inspection, control and licensing.</w:t>
      </w:r>
    </w:p>
    <w:p>
      <w:pPr>
        <w:pStyle w:val="Compact"/>
        <w:numPr>
          <w:ilvl w:val="0"/>
          <w:numId w:val="1002"/>
        </w:numPr>
      </w:pPr>
      <w:r>
        <w:t xml:space="preserve">Build a database of licensed engineering offices, companies and accredited bodies.</w:t>
      </w:r>
    </w:p>
    <w:p>
      <w:pPr>
        <w:pStyle w:val="Compact"/>
        <w:numPr>
          <w:ilvl w:val="0"/>
          <w:numId w:val="1002"/>
        </w:numPr>
      </w:pPr>
      <w:r>
        <w:t xml:space="preserve">Appoint inspection bodies according to their specialties.</w:t>
      </w:r>
    </w:p>
    <w:bookmarkEnd w:id="22"/>
    <w:bookmarkStart w:id="23" w:name="X037e0639ce02d0c8804bad2c11e65add0480aa7"/>
    <w:p>
      <w:pPr>
        <w:pStyle w:val="3"/>
      </w:pPr>
      <w:r>
        <w:t xml:space="preserve">Article 9 — Ministry of Interior (Civil Defense) Duties:</w:t>
      </w:r>
    </w:p>
    <w:p>
      <w:pPr>
        <w:pStyle w:val="Compact"/>
        <w:numPr>
          <w:ilvl w:val="0"/>
          <w:numId w:val="1003"/>
        </w:numPr>
      </w:pPr>
      <w:r>
        <w:t xml:space="preserve">Follow up and monitor application of fire prevention and protection systems in all stages of construction, maintenance, operation and storage.</w:t>
      </w:r>
    </w:p>
    <w:p>
      <w:pPr>
        <w:pStyle w:val="Compact"/>
        <w:numPr>
          <w:ilvl w:val="0"/>
          <w:numId w:val="1003"/>
        </w:numPr>
      </w:pPr>
      <w:r>
        <w:t xml:space="preserve">Coordinate to ensure engineering offices and contractors have necessary qualifications in fire prevention and protection.</w:t>
      </w:r>
    </w:p>
    <w:p>
      <w:pPr>
        <w:pStyle w:val="Compact"/>
        <w:numPr>
          <w:ilvl w:val="0"/>
          <w:numId w:val="1003"/>
        </w:numPr>
      </w:pPr>
      <w:r>
        <w:t xml:space="preserve">Appoint inspection bodies in the field of fire protection.</w:t>
      </w:r>
    </w:p>
    <w:bookmarkEnd w:id="23"/>
    <w:bookmarkStart w:id="24" w:name="article-10-ministry-of-energy-duties"/>
    <w:p>
      <w:pPr>
        <w:pStyle w:val="3"/>
      </w:pPr>
      <w:r>
        <w:t xml:space="preserve">Article 10 — Ministry of Energy Duties:</w:t>
      </w:r>
    </w:p>
    <w:p>
      <w:pPr>
        <w:pStyle w:val="Compact"/>
        <w:numPr>
          <w:ilvl w:val="0"/>
          <w:numId w:val="1004"/>
        </w:numPr>
      </w:pPr>
      <w:r>
        <w:t xml:space="preserve">Coordinate to prepare qualification requirements for electrical works and energy conservation.</w:t>
      </w:r>
    </w:p>
    <w:p>
      <w:pPr>
        <w:pStyle w:val="Compact"/>
        <w:numPr>
          <w:ilvl w:val="0"/>
          <w:numId w:val="1004"/>
        </w:numPr>
      </w:pPr>
      <w:r>
        <w:t xml:space="preserve">Follow up and monitor electrical works and energy conservation, controlling violations.</w:t>
      </w:r>
    </w:p>
    <w:p>
      <w:pPr>
        <w:pStyle w:val="Compact"/>
        <w:numPr>
          <w:ilvl w:val="0"/>
          <w:numId w:val="1004"/>
        </w:numPr>
      </w:pPr>
      <w:r>
        <w:t xml:space="preserve">Appoint inspection bodies in the field of electrical works and energy conservation.</w:t>
      </w:r>
    </w:p>
    <w:bookmarkEnd w:id="24"/>
    <w:bookmarkStart w:id="25" w:name="Xf4dc06101e5c774072398242025e03b1266dabc"/>
    <w:p>
      <w:pPr>
        <w:pStyle w:val="3"/>
      </w:pPr>
      <w:r>
        <w:t xml:space="preserve">Article 11 — Saudi Standards, Metrology and Quality Organization (SASO) Duties:</w:t>
      </w:r>
    </w:p>
    <w:p>
      <w:pPr>
        <w:pStyle w:val="Compact"/>
        <w:numPr>
          <w:ilvl w:val="0"/>
          <w:numId w:val="1005"/>
        </w:numPr>
      </w:pPr>
      <w:r>
        <w:t xml:space="preserve">Accept conformity assessment bodies (including inspection bodies) in specified fields.</w:t>
      </w:r>
    </w:p>
    <w:p>
      <w:pPr>
        <w:pStyle w:val="Compact"/>
        <w:numPr>
          <w:ilvl w:val="0"/>
          <w:numId w:val="1005"/>
        </w:numPr>
      </w:pPr>
      <w:r>
        <w:t xml:space="preserve">Update reference standard specifications for the code.</w:t>
      </w:r>
    </w:p>
    <w:bookmarkEnd w:id="25"/>
    <w:bookmarkStart w:id="26" w:name="article-12-automation-linkage"/>
    <w:p>
      <w:pPr>
        <w:pStyle w:val="3"/>
      </w:pPr>
      <w:r>
        <w:t xml:space="preserve">Article 12 — Automation Linkage:</w:t>
      </w:r>
    </w:p>
    <w:p>
      <w:pPr>
        <w:pStyle w:val="FirstParagraph"/>
      </w:pPr>
      <w:r>
        <w:t xml:space="preserve">The competent authority in the Ministry shall coordinate to complete automation linkage between the</w:t>
      </w:r>
      <w:r>
        <w:t xml:space="preserve"> </w:t>
      </w:r>
      <w:r>
        <w:rPr>
          <w:b/>
          <w:bCs/>
        </w:rPr>
        <w:t xml:space="preserve">Baladi platform</w:t>
      </w:r>
      <w:r>
        <w:t xml:space="preserve"> </w:t>
      </w:r>
      <w:r>
        <w:t xml:space="preserve">and other relevant authorities.</w:t>
      </w:r>
    </w:p>
    <w:bookmarkEnd w:id="26"/>
    <w:bookmarkStart w:id="27" w:name="article-13-license-issuance-condition"/>
    <w:p>
      <w:pPr>
        <w:pStyle w:val="3"/>
      </w:pPr>
      <w:r>
        <w:t xml:space="preserve">Article 13 — License Issuance Condition:</w:t>
      </w:r>
    </w:p>
    <w:p>
      <w:pPr>
        <w:pStyle w:val="FirstParagraph"/>
      </w:pPr>
      <w:r>
        <w:rPr>
          <w:b/>
          <w:bCs/>
        </w:rPr>
        <w:t xml:space="preserve">No building, renovation, modification, removal, change of use or similar license shall be issued</w:t>
      </w:r>
      <w:r>
        <w:t xml:space="preserve"> </w:t>
      </w:r>
      <w:r>
        <w:t xml:space="preserve">unless the documents and drawings of the code are verified and approved.</w:t>
      </w:r>
    </w:p>
    <w:bookmarkEnd w:id="27"/>
    <w:bookmarkStart w:id="28" w:name="article-14-license-applicant-obligations"/>
    <w:p>
      <w:pPr>
        <w:pStyle w:val="3"/>
      </w:pPr>
      <w:r>
        <w:t xml:space="preserve">Article 14 — License Applicant Obligations:</w:t>
      </w:r>
    </w:p>
    <w:p>
      <w:pPr>
        <w:pStyle w:val="Compact"/>
        <w:numPr>
          <w:ilvl w:val="0"/>
          <w:numId w:val="1006"/>
        </w:numPr>
      </w:pPr>
      <w:r>
        <w:t xml:space="preserve">Undertake to abide by the code.</w:t>
      </w:r>
    </w:p>
    <w:p>
      <w:pPr>
        <w:pStyle w:val="Compact"/>
        <w:numPr>
          <w:ilvl w:val="0"/>
          <w:numId w:val="1006"/>
        </w:numPr>
      </w:pPr>
      <w:r>
        <w:t xml:space="preserve">Entrust design, supervision and implementation to specialists holding professional practice licenses.</w:t>
      </w:r>
    </w:p>
    <w:p>
      <w:pPr>
        <w:pStyle w:val="Compact"/>
        <w:numPr>
          <w:ilvl w:val="0"/>
          <w:numId w:val="1006"/>
        </w:numPr>
      </w:pPr>
      <w:r>
        <w:t xml:space="preserve">Submit contracts with practitioners, showing addresses and contacts.</w:t>
      </w:r>
    </w:p>
    <w:p>
      <w:pPr>
        <w:pStyle w:val="Compact"/>
        <w:numPr>
          <w:ilvl w:val="0"/>
          <w:numId w:val="1006"/>
        </w:numPr>
      </w:pPr>
      <w:r>
        <w:t xml:space="preserve">Contracts must explicitly state commitment to carry out work according to code.</w:t>
      </w:r>
    </w:p>
    <w:p>
      <w:pPr>
        <w:pStyle w:val="Compact"/>
        <w:numPr>
          <w:ilvl w:val="0"/>
          <w:numId w:val="1006"/>
        </w:numPr>
      </w:pPr>
      <w:r>
        <w:t xml:space="preserve">Specify and update address and contacts; notice through them shall be valid.</w:t>
      </w:r>
    </w:p>
    <w:bookmarkEnd w:id="28"/>
    <w:bookmarkStart w:id="29" w:name="article-15-dispute-resolution"/>
    <w:p>
      <w:pPr>
        <w:pStyle w:val="3"/>
      </w:pPr>
      <w:r>
        <w:t xml:space="preserve">Article 15 — Dispute Resolution:</w:t>
      </w:r>
    </w:p>
    <w:p>
      <w:pPr>
        <w:pStyle w:val="FirstParagraph"/>
      </w:pPr>
      <w:r>
        <w:t xml:space="preserve">Owner, approved designer, supervising designer and contractor shall communicate with the municipal body if there is disagreement about application or interpretation of code clauses. They shall report any violation by one of the parties. They may communicate with the municipal body or competent ministry authority for proposals to develop or improve the code.</w:t>
      </w:r>
    </w:p>
    <w:p>
      <w:r>
        <w:pict>
          <v:rect style="width:0;height:1.5pt" o:hralign="center" o:hrstd="t" o:hr="t"/>
        </w:pict>
      </w:r>
    </w:p>
    <w:bookmarkEnd w:id="29"/>
    <w:bookmarkEnd w:id="30"/>
    <w:bookmarkStart w:id="31" w:name="X8f509fca2481a30debd4e6cbeb3b05516d16b8d"/>
    <w:p>
      <w:pPr>
        <w:pStyle w:val="2"/>
      </w:pPr>
      <w:r>
        <w:t xml:space="preserve">Chapter IV: Certificate of Occupancy (Articles 16–20)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Rule</w:t>
            </w:r>
          </w:p>
        </w:tc>
      </w:tr>
      <w:tr>
        <w:tc>
          <w:tcPr/>
          <w:p>
            <w:pPr>
              <w:pStyle w:val="Compact"/>
              <w:jc w:val="left"/>
            </w:pPr>
            <w:r>
              <w:rPr>
                <w:b/>
                <w:bCs/>
              </w:rPr>
              <w:t xml:space="preserve">Article 16</w:t>
            </w:r>
          </w:p>
        </w:tc>
        <w:tc>
          <w:tcPr/>
          <w:p>
            <w:pPr>
              <w:pStyle w:val="Compact"/>
              <w:jc w:val="left"/>
            </w:pPr>
            <w:r>
              <w:t xml:space="preserve">A building</w:t>
            </w:r>
            <w:r>
              <w:t xml:space="preserve"> </w:t>
            </w:r>
            <w:r>
              <w:rPr>
                <w:b/>
                <w:bCs/>
              </w:rPr>
              <w:t xml:space="preserve">shall not be occupied</w:t>
            </w:r>
            <w:r>
              <w:t xml:space="preserve"> </w:t>
            </w:r>
            <w:r>
              <w:t xml:space="preserve">until after obtaining a</w:t>
            </w:r>
            <w:r>
              <w:t xml:space="preserve"> </w:t>
            </w:r>
            <w:r>
              <w:rPr>
                <w:b/>
                <w:bCs/>
              </w:rPr>
              <w:t xml:space="preserve">certificate of occupancy</w:t>
            </w:r>
            <w:r>
              <w:t xml:space="preserve"> </w:t>
            </w:r>
            <w:r>
              <w:t xml:space="preserve">from the municipal body according to the occupancy classification in SBC 101.</w:t>
            </w:r>
          </w:p>
        </w:tc>
      </w:tr>
      <w:tr>
        <w:tc>
          <w:tcPr/>
          <w:p>
            <w:pPr>
              <w:pStyle w:val="Compact"/>
              <w:jc w:val="left"/>
            </w:pPr>
            <w:r>
              <w:rPr>
                <w:b/>
                <w:bCs/>
              </w:rPr>
              <w:t xml:space="preserve">Article 17</w:t>
            </w:r>
          </w:p>
        </w:tc>
        <w:tc>
          <w:tcPr/>
          <w:p>
            <w:pPr>
              <w:pStyle w:val="Compact"/>
              <w:jc w:val="left"/>
            </w:pPr>
            <w:r>
              <w:t xml:space="preserve">The license holder shall apply to the Municipal body after completion of the building for issuance of the occupancy certificate, attaching necessary licenses, requirements, final inspection work, tests and</w:t>
            </w:r>
            <w:r>
              <w:t xml:space="preserve"> </w:t>
            </w:r>
            <w:r>
              <w:rPr>
                <w:b/>
                <w:bCs/>
              </w:rPr>
              <w:t xml:space="preserve">as-built drawings</w:t>
            </w:r>
            <w:r>
              <w:t xml:space="preserve">.</w:t>
            </w:r>
          </w:p>
        </w:tc>
      </w:tr>
      <w:tr>
        <w:tc>
          <w:tcPr/>
          <w:p>
            <w:pPr>
              <w:pStyle w:val="Compact"/>
              <w:jc w:val="left"/>
            </w:pPr>
            <w:r>
              <w:rPr>
                <w:b/>
                <w:bCs/>
              </w:rPr>
              <w:t xml:space="preserve">Article 18</w:t>
            </w:r>
          </w:p>
        </w:tc>
        <w:tc>
          <w:tcPr/>
          <w:p>
            <w:pPr>
              <w:pStyle w:val="Compact"/>
              <w:jc w:val="left"/>
            </w:pPr>
            <w:r>
              <w:t xml:space="preserve">Application must be decided upon</w:t>
            </w:r>
            <w:r>
              <w:t xml:space="preserve"> </w:t>
            </w:r>
            <w:r>
              <w:rPr>
                <w:b/>
                <w:bCs/>
              </w:rPr>
              <w:t xml:space="preserve">within 3 business days</w:t>
            </w:r>
            <w:r>
              <w:t xml:space="preserve"> </w:t>
            </w:r>
            <w:r>
              <w:t xml:space="preserve">from submission. If rejected, applicant shall be notified with reasons. The occupancy certificate must include: (a) Number and date of building license; (b) Name and address of owner; (c) Building address, coordinates, description and classification; (d) Name of municipal body; (e) Type of use and occupancy; (f) Availability of fire prevention and protection systems; (g) Name and signature of the issuer.</w:t>
            </w:r>
          </w:p>
        </w:tc>
      </w:tr>
      <w:tr>
        <w:tc>
          <w:tcPr/>
          <w:p>
            <w:pPr>
              <w:pStyle w:val="Compact"/>
              <w:jc w:val="left"/>
            </w:pPr>
            <w:r>
              <w:rPr>
                <w:b/>
                <w:bCs/>
              </w:rPr>
              <w:t xml:space="preserve">Article 19</w:t>
            </w:r>
          </w:p>
        </w:tc>
        <w:tc>
          <w:tcPr/>
          <w:p>
            <w:pPr>
              <w:pStyle w:val="Compact"/>
              <w:jc w:val="left"/>
            </w:pPr>
            <w:r>
              <w:t xml:space="preserve">Municipal body may issue a</w:t>
            </w:r>
            <w:r>
              <w:t xml:space="preserve"> </w:t>
            </w:r>
            <w:r>
              <w:rPr>
                <w:b/>
                <w:bCs/>
              </w:rPr>
              <w:t xml:space="preserve">temporary occupation certificate</w:t>
            </w:r>
            <w:r>
              <w:t xml:space="preserve"> </w:t>
            </w:r>
            <w:r>
              <w:t xml:space="preserve">for a period</w:t>
            </w:r>
            <w:r>
              <w:t xml:space="preserve"> </w:t>
            </w:r>
            <w:r>
              <w:rPr>
                <w:b/>
                <w:bCs/>
              </w:rPr>
              <w:t xml:space="preserve">not exceeding 180 days</w:t>
            </w:r>
            <w:r>
              <w:t xml:space="preserve">, renewable, for temporary and seasonal installations, festivals, events, and labor housing in large projects during implementation — provided occupancy will be carried out safely and according to the code.</w:t>
            </w:r>
          </w:p>
        </w:tc>
      </w:tr>
      <w:tr>
        <w:tc>
          <w:tcPr/>
          <w:p>
            <w:pPr>
              <w:pStyle w:val="Compact"/>
              <w:jc w:val="left"/>
            </w:pPr>
            <w:r>
              <w:rPr>
                <w:b/>
                <w:bCs/>
              </w:rPr>
              <w:t xml:space="preserve">Article 20</w:t>
            </w:r>
          </w:p>
        </w:tc>
        <w:tc>
          <w:tcPr/>
          <w:p>
            <w:pPr>
              <w:pStyle w:val="Compact"/>
              <w:jc w:val="left"/>
            </w:pPr>
            <w:r>
              <w:t xml:space="preserve">Municipal Authority and relevant authorities may request</w:t>
            </w:r>
            <w:r>
              <w:t xml:space="preserve"> </w:t>
            </w:r>
            <w:r>
              <w:rPr>
                <w:b/>
                <w:bCs/>
              </w:rPr>
              <w:t xml:space="preserve">disconnection of public utilities</w:t>
            </w:r>
            <w:r>
              <w:t xml:space="preserve"> </w:t>
            </w:r>
            <w:r>
              <w:t xml:space="preserve">when necessary to remove a direct hazard to life or property. Owner or occupant shall be notified. Utilities</w:t>
            </w:r>
            <w:r>
              <w:t xml:space="preserve"> </w:t>
            </w:r>
            <w:r>
              <w:rPr>
                <w:b/>
                <w:bCs/>
              </w:rPr>
              <w:t xml:space="preserve">shall not be returned</w:t>
            </w:r>
            <w:r>
              <w:t xml:space="preserve"> </w:t>
            </w:r>
            <w:r>
              <w:t xml:space="preserve">until after the reason for disconnection has been removed.</w:t>
            </w:r>
          </w:p>
        </w:tc>
      </w:tr>
    </w:tbl>
    <w:p>
      <w:r>
        <w:pict>
          <v:rect style="width:0;height:1.5pt" o:hralign="center" o:hrstd="t" o:hr="t"/>
        </w:pict>
      </w:r>
    </w:p>
    <w:bookmarkEnd w:id="31"/>
    <w:bookmarkStart w:id="32" w:name="X2b3728e71fd5375b236d6ad7d17381c6fac0f48"/>
    <w:p>
      <w:pPr>
        <w:pStyle w:val="2"/>
      </w:pPr>
      <w:r>
        <w:t xml:space="preserve">Chapter V: Inspection, Monitoring, and Follow-up (Articles 21–23)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Rule</w:t>
            </w:r>
          </w:p>
        </w:tc>
      </w:tr>
      <w:tr>
        <w:tc>
          <w:tcPr/>
          <w:p>
            <w:pPr>
              <w:pStyle w:val="Compact"/>
              <w:jc w:val="left"/>
            </w:pPr>
            <w:r>
              <w:rPr>
                <w:b/>
                <w:bCs/>
              </w:rPr>
              <w:t xml:space="preserve">Article 21</w:t>
            </w:r>
          </w:p>
        </w:tc>
        <w:tc>
          <w:tcPr/>
          <w:p>
            <w:pPr>
              <w:pStyle w:val="Compact"/>
              <w:jc w:val="left"/>
            </w:pPr>
            <w:r>
              <w:t xml:space="preserve">Inspections, tests, follow-up and approval shall be carried out in a</w:t>
            </w:r>
            <w:r>
              <w:t xml:space="preserve"> </w:t>
            </w:r>
            <w:r>
              <w:rPr>
                <w:b/>
                <w:bCs/>
              </w:rPr>
              <w:t xml:space="preserve">sequential manner</w:t>
            </w:r>
            <w:r>
              <w:t xml:space="preserve"> </w:t>
            </w:r>
            <w:r>
              <w:t xml:space="preserve">according to construction stages. Movement from one stage to another</w:t>
            </w:r>
            <w:r>
              <w:t xml:space="preserve"> </w:t>
            </w:r>
            <w:r>
              <w:rPr>
                <w:b/>
                <w:bCs/>
              </w:rPr>
              <w:t xml:space="preserve">without approval</w:t>
            </w:r>
            <w:r>
              <w:t xml:space="preserve"> </w:t>
            </w:r>
            <w:r>
              <w:t xml:space="preserve">of relevant bodies is prohibited. Relevant authorities may</w:t>
            </w:r>
            <w:r>
              <w:t xml:space="preserve"> </w:t>
            </w:r>
            <w:r>
              <w:rPr>
                <w:b/>
                <w:bCs/>
              </w:rPr>
              <w:t xml:space="preserve">suspend the building license</w:t>
            </w:r>
            <w:r>
              <w:t xml:space="preserve"> </w:t>
            </w:r>
            <w:r>
              <w:t xml:space="preserve">at any stage of construction.</w:t>
            </w:r>
          </w:p>
        </w:tc>
      </w:tr>
      <w:tr>
        <w:tc>
          <w:tcPr/>
          <w:p>
            <w:pPr>
              <w:pStyle w:val="Compact"/>
              <w:jc w:val="left"/>
            </w:pPr>
            <w:r>
              <w:rPr>
                <w:b/>
                <w:bCs/>
              </w:rPr>
              <w:t xml:space="preserve">Article 22</w:t>
            </w:r>
          </w:p>
        </w:tc>
        <w:tc>
          <w:tcPr/>
          <w:p>
            <w:pPr>
              <w:pStyle w:val="Compact"/>
              <w:jc w:val="left"/>
            </w:pPr>
            <w:r>
              <w:t xml:space="preserve">The license holder or representative shall</w:t>
            </w:r>
            <w:r>
              <w:t xml:space="preserve"> </w:t>
            </w:r>
            <w:r>
              <w:rPr>
                <w:b/>
                <w:bCs/>
              </w:rPr>
              <w:t xml:space="preserve">notify the inspector</w:t>
            </w:r>
            <w:r>
              <w:t xml:space="preserve"> </w:t>
            </w:r>
            <w:r>
              <w:t xml:space="preserve">when work is ready for inspection according to construction stages, and shall provide all documents, drawings and necessary supplies for required inspection and testing work.</w:t>
            </w:r>
          </w:p>
        </w:tc>
      </w:tr>
      <w:tr>
        <w:tc>
          <w:tcPr/>
          <w:p>
            <w:pPr>
              <w:pStyle w:val="Compact"/>
              <w:jc w:val="left"/>
            </w:pPr>
            <w:r>
              <w:rPr>
                <w:b/>
                <w:bCs/>
              </w:rPr>
              <w:t xml:space="preserve">Article 23</w:t>
            </w:r>
          </w:p>
        </w:tc>
        <w:tc>
          <w:tcPr/>
          <w:p>
            <w:pPr>
              <w:pStyle w:val="Compact"/>
              <w:jc w:val="left"/>
            </w:pPr>
            <w:r>
              <w:t xml:space="preserve">Violations shall be controlled and penalties imposed in accordance with</w:t>
            </w:r>
            <w:r>
              <w:t xml:space="preserve"> </w:t>
            </w:r>
            <w:r>
              <w:rPr>
                <w:b/>
                <w:bCs/>
              </w:rPr>
              <w:t xml:space="preserve">Regulations for Classification of the Saudi Building Code Violations</w:t>
            </w:r>
            <w:r>
              <w:t xml:space="preserve">.</w:t>
            </w:r>
          </w:p>
        </w:tc>
      </w:tr>
    </w:tbl>
    <w:p>
      <w:r>
        <w:pict>
          <v:rect style="width:0;height:1.5pt" o:hralign="center" o:hrstd="t" o:hr="t"/>
        </w:pict>
      </w:r>
    </w:p>
    <w:bookmarkEnd w:id="32"/>
    <w:bookmarkStart w:id="33" w:name="X10f930470ee34cd642abfb45f0603a995021707"/>
    <w:p>
      <w:pPr>
        <w:pStyle w:val="2"/>
      </w:pPr>
      <w:r>
        <w:t xml:space="preserve">Chapter VI: Building Code Updating, Developing and Re-issuing (Articles 24–26)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Rule</w:t>
            </w:r>
          </w:p>
        </w:tc>
      </w:tr>
      <w:tr>
        <w:tc>
          <w:tcPr/>
          <w:p>
            <w:pPr>
              <w:pStyle w:val="Compact"/>
              <w:jc w:val="left"/>
            </w:pPr>
            <w:r>
              <w:rPr>
                <w:b/>
                <w:bCs/>
              </w:rPr>
              <w:t xml:space="preserve">Article 24</w:t>
            </w:r>
          </w:p>
        </w:tc>
        <w:tc>
          <w:tcPr/>
          <w:p>
            <w:pPr>
              <w:pStyle w:val="Compact"/>
              <w:jc w:val="left"/>
            </w:pPr>
            <w:r>
              <w:t xml:space="preserve">The National Committee shall propose amendment, development and updating of the Code. Relevant bodies and stakeholders shall directly provide the Committee with notes detected during implementation and proposals for modification.</w:t>
            </w:r>
          </w:p>
        </w:tc>
      </w:tr>
      <w:tr>
        <w:tc>
          <w:tcPr/>
          <w:p>
            <w:pPr>
              <w:pStyle w:val="Compact"/>
              <w:jc w:val="left"/>
            </w:pPr>
            <w:r>
              <w:rPr>
                <w:b/>
                <w:bCs/>
              </w:rPr>
              <w:t xml:space="preserve">Article 25</w:t>
            </w:r>
          </w:p>
        </w:tc>
        <w:tc>
          <w:tcPr/>
          <w:p>
            <w:pPr>
              <w:pStyle w:val="Compact"/>
              <w:jc w:val="left"/>
            </w:pPr>
            <w:r>
              <w:t xml:space="preserve">The National Committee shall set up a mechanism for receiving comments on amendment or updating, study such comments, and submit results to the Minister of Commerce and Chairman of the Board of Directors of the Organization to issue the amendment or update.</w:t>
            </w:r>
          </w:p>
        </w:tc>
      </w:tr>
      <w:tr>
        <w:tc>
          <w:tcPr/>
          <w:p>
            <w:pPr>
              <w:pStyle w:val="Compact"/>
              <w:jc w:val="left"/>
            </w:pPr>
            <w:r>
              <w:rPr>
                <w:b/>
                <w:bCs/>
              </w:rPr>
              <w:t xml:space="preserve">Article 26</w:t>
            </w:r>
          </w:p>
        </w:tc>
        <w:tc>
          <w:tcPr/>
          <w:p>
            <w:pPr>
              <w:pStyle w:val="Compact"/>
              <w:jc w:val="left"/>
            </w:pPr>
            <w:r>
              <w:t xml:space="preserve">The National Committee shall prepare scientific and technical instructions and explanations of the Code. Relative bodies shall participate in preparation of training and qualification curricula and plans, and hold workshops, seminars and conferences.</w:t>
            </w:r>
          </w:p>
        </w:tc>
      </w:tr>
    </w:tbl>
    <w:p>
      <w:r>
        <w:pict>
          <v:rect style="width:0;height:1.5pt" o:hralign="center" o:hrstd="t" o:hr="t"/>
        </w:pict>
      </w:r>
    </w:p>
    <w:bookmarkEnd w:id="33"/>
    <w:bookmarkStart w:id="34" w:name="X7b025906ba7f1bd0061c34e52d311bfba690e6f"/>
    <w:p>
      <w:pPr>
        <w:pStyle w:val="2"/>
      </w:pPr>
      <w:r>
        <w:t xml:space="preserve">Chapter VII: General Provisions (Articles 27–30)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Rule</w:t>
            </w:r>
          </w:p>
        </w:tc>
      </w:tr>
      <w:tr>
        <w:tc>
          <w:tcPr/>
          <w:p>
            <w:pPr>
              <w:pStyle w:val="Compact"/>
              <w:jc w:val="left"/>
            </w:pPr>
            <w:r>
              <w:rPr>
                <w:b/>
                <w:bCs/>
              </w:rPr>
              <w:t xml:space="preserve">Article 27</w:t>
            </w:r>
          </w:p>
        </w:tc>
        <w:tc>
          <w:tcPr/>
          <w:p>
            <w:pPr>
              <w:pStyle w:val="Compact"/>
              <w:jc w:val="left"/>
            </w:pPr>
            <w:r>
              <w:t xml:space="preserve">The Ministry and relevant bodies may use approved engineering offices, companies and private institutions to carry out tasks related to code implementation, according to general requirements regulations for appointing inspection bodies and inspectors.</w:t>
            </w:r>
          </w:p>
        </w:tc>
      </w:tr>
      <w:tr>
        <w:tc>
          <w:tcPr/>
          <w:p>
            <w:pPr>
              <w:pStyle w:val="Compact"/>
              <w:jc w:val="left"/>
            </w:pPr>
            <w:r>
              <w:rPr>
                <w:b/>
                <w:bCs/>
              </w:rPr>
              <w:t xml:space="preserve">Article 28</w:t>
            </w:r>
          </w:p>
        </w:tc>
        <w:tc>
          <w:tcPr/>
          <w:p>
            <w:pPr>
              <w:pStyle w:val="Compact"/>
              <w:jc w:val="left"/>
            </w:pPr>
            <w:r>
              <w:t xml:space="preserve">The relevant body in the Ministry shall undertake 8 specified duties including: developing application mechanisms; setting up procedural guidelines and standard forms; following up implementation decisions; supervising procedural work; following up violation committee formation; preparing committee rules of work; receiving comments and proposals; and any other entrusted duties.</w:t>
            </w:r>
          </w:p>
        </w:tc>
      </w:tr>
      <w:tr>
        <w:tc>
          <w:tcPr/>
          <w:p>
            <w:pPr>
              <w:pStyle w:val="Compact"/>
              <w:jc w:val="left"/>
            </w:pPr>
            <w:r>
              <w:rPr>
                <w:b/>
                <w:bCs/>
              </w:rPr>
              <w:t xml:space="preserve">Article 29</w:t>
            </w:r>
          </w:p>
        </w:tc>
        <w:tc>
          <w:tcPr/>
          <w:p>
            <w:pPr>
              <w:pStyle w:val="Compact"/>
              <w:jc w:val="left"/>
            </w:pPr>
            <w:r>
              <w:rPr>
                <w:b/>
                <w:bCs/>
              </w:rPr>
              <w:t xml:space="preserve">(1)</w:t>
            </w:r>
            <w:r>
              <w:t xml:space="preserve"> </w:t>
            </w:r>
            <w:r>
              <w:t xml:space="preserve">The</w:t>
            </w:r>
            <w:r>
              <w:t xml:space="preserve"> </w:t>
            </w:r>
            <w:r>
              <w:rPr>
                <w:b/>
                <w:bCs/>
              </w:rPr>
              <w:t xml:space="preserve">Supervising designer</w:t>
            </w:r>
            <w:r>
              <w:t xml:space="preserve"> </w:t>
            </w:r>
            <w:r>
              <w:t xml:space="preserve">and</w:t>
            </w:r>
            <w:r>
              <w:t xml:space="preserve"> </w:t>
            </w:r>
            <w:r>
              <w:rPr>
                <w:b/>
                <w:bCs/>
              </w:rPr>
              <w:t xml:space="preserve">Contractor</w:t>
            </w:r>
            <w:r>
              <w:t xml:space="preserve"> </w:t>
            </w:r>
            <w:r>
              <w:t xml:space="preserve">shall be</w:t>
            </w:r>
            <w:r>
              <w:t xml:space="preserve"> </w:t>
            </w:r>
            <w:r>
              <w:rPr>
                <w:b/>
                <w:bCs/>
              </w:rPr>
              <w:t xml:space="preserve">jointly responsible</w:t>
            </w:r>
            <w:r>
              <w:t xml:space="preserve"> </w:t>
            </w:r>
            <w:r>
              <w:t xml:space="preserve">for compensating the owner for</w:t>
            </w:r>
            <w:r>
              <w:t xml:space="preserve"> </w:t>
            </w:r>
            <w:r>
              <w:rPr>
                <w:b/>
                <w:bCs/>
              </w:rPr>
              <w:t xml:space="preserve">10 years</w:t>
            </w:r>
            <w:r>
              <w:t xml:space="preserve"> </w:t>
            </w:r>
            <w:r>
              <w:t xml:space="preserve">from the date of issuance of the occupancy certificate — for total or partial demolition of buildings/facilities they constructed, and for every</w:t>
            </w:r>
            <w:r>
              <w:t xml:space="preserve"> </w:t>
            </w:r>
            <w:r>
              <w:rPr>
                <w:b/>
                <w:bCs/>
              </w:rPr>
              <w:t xml:space="preserve">hidden defect</w:t>
            </w:r>
            <w:r>
              <w:t xml:space="preserve"> </w:t>
            </w:r>
            <w:r>
              <w:t xml:space="preserve">threatening durability and safety.</w:t>
            </w:r>
            <w:r>
              <w:t xml:space="preserve"> </w:t>
            </w:r>
            <w:r>
              <w:rPr>
                <w:b/>
                <w:bCs/>
              </w:rPr>
              <w:t xml:space="preserve">(2)</w:t>
            </w:r>
            <w:r>
              <w:t xml:space="preserve"> </w:t>
            </w:r>
            <w:r>
              <w:t xml:space="preserve">This obligation remains valid even if defect/demolition was caused by land defect or employer’s consent to construct defective buildings.</w:t>
            </w:r>
            <w:r>
              <w:t xml:space="preserve"> </w:t>
            </w:r>
            <w:r>
              <w:rPr>
                <w:b/>
                <w:bCs/>
              </w:rPr>
              <w:t xml:space="preserve">(3)</w:t>
            </w:r>
            <w:r>
              <w:t xml:space="preserve"> </w:t>
            </w:r>
            <w:r>
              <w:t xml:space="preserve">The</w:t>
            </w:r>
            <w:r>
              <w:t xml:space="preserve"> </w:t>
            </w:r>
            <w:r>
              <w:rPr>
                <w:b/>
                <w:bCs/>
              </w:rPr>
              <w:t xml:space="preserve">approved designer</w:t>
            </w:r>
            <w:r>
              <w:t xml:space="preserve"> </w:t>
            </w:r>
            <w:r>
              <w:t xml:space="preserve">is responsible for</w:t>
            </w:r>
            <w:r>
              <w:t xml:space="preserve"> </w:t>
            </w:r>
            <w:r>
              <w:rPr>
                <w:b/>
                <w:bCs/>
              </w:rPr>
              <w:t xml:space="preserve">design defects</w:t>
            </w:r>
            <w:r>
              <w:t xml:space="preserve"> </w:t>
            </w:r>
            <w:r>
              <w:t xml:space="preserve">if work is limited to design only (without supervision).</w:t>
            </w:r>
            <w:r>
              <w:t xml:space="preserve"> </w:t>
            </w:r>
            <w:r>
              <w:rPr>
                <w:b/>
                <w:bCs/>
              </w:rPr>
              <w:t xml:space="preserve">(4)</w:t>
            </w:r>
            <w:r>
              <w:t xml:space="preserve"> </w:t>
            </w:r>
            <w:r>
              <w:t xml:space="preserve">Any condition intended to exempt the contractor or supervising designer from warranty or limit it shall be</w:t>
            </w:r>
            <w:r>
              <w:t xml:space="preserve"> </w:t>
            </w:r>
            <w:r>
              <w:rPr>
                <w:b/>
                <w:bCs/>
              </w:rPr>
              <w:t xml:space="preserve">null and void</w:t>
            </w:r>
            <w:r>
              <w:t xml:space="preserve">.</w:t>
            </w:r>
          </w:p>
        </w:tc>
      </w:tr>
      <w:tr>
        <w:tc>
          <w:tcPr/>
          <w:p>
            <w:pPr>
              <w:pStyle w:val="Compact"/>
              <w:jc w:val="left"/>
            </w:pPr>
            <w:r>
              <w:rPr>
                <w:b/>
                <w:bCs/>
              </w:rPr>
              <w:t xml:space="preserve">Article 30</w:t>
            </w:r>
          </w:p>
        </w:tc>
        <w:tc>
          <w:tcPr/>
          <w:p>
            <w:pPr>
              <w:pStyle w:val="Compact"/>
              <w:jc w:val="left"/>
            </w:pPr>
            <w:r>
              <w:t xml:space="preserve">This regulation shall be effective as of the date of its publication in the Official Gazette.</w:t>
            </w:r>
          </w:p>
        </w:tc>
      </w:tr>
    </w:tbl>
    <w:p>
      <w:r>
        <w:pict>
          <v:rect style="width:0;height:1.5pt" o:hralign="center" o:hrstd="t" o:hr="t"/>
        </w:pict>
      </w:r>
    </w:p>
    <w:bookmarkEnd w:id="34"/>
    <w:bookmarkStart w:id="35" w:name="annex-phases-of-code-implementation"/>
    <w:p>
      <w:pPr>
        <w:pStyle w:val="2"/>
      </w:pPr>
      <w:r>
        <w:t xml:space="preserve">Annex: Phases of Code Implementation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Period</w:t>
            </w:r>
          </w:p>
        </w:tc>
        <w:tc>
          <w:tcPr/>
          <w:p>
            <w:pPr>
              <w:pStyle w:val="Compact"/>
              <w:jc w:val="left"/>
            </w:pPr>
            <w:r>
              <w:t xml:space="preserve">Building Types Covered</w:t>
            </w:r>
          </w:p>
        </w:tc>
      </w:tr>
      <w:tr>
        <w:tc>
          <w:tcPr/>
          <w:p>
            <w:pPr>
              <w:pStyle w:val="Compact"/>
              <w:jc w:val="left"/>
            </w:pPr>
            <w:r>
              <w:rPr>
                <w:b/>
                <w:bCs/>
              </w:rPr>
              <w:t xml:space="preserve">Stage 1</w:t>
            </w:r>
          </w:p>
        </w:tc>
        <w:tc>
          <w:tcPr/>
          <w:p>
            <w:pPr>
              <w:pStyle w:val="Compact"/>
              <w:jc w:val="left"/>
            </w:pPr>
            <w:r>
              <w:t xml:space="preserve">From law entry into force until end of Dhu Al-Hijjah 1440H</w:t>
            </w:r>
          </w:p>
        </w:tc>
        <w:tc>
          <w:tcPr/>
          <w:p>
            <w:pPr>
              <w:pStyle w:val="Compact"/>
              <w:jc w:val="left"/>
            </w:pPr>
            <w:r>
              <w:t xml:space="preserve">Governmental administrative buildings, high buildings (towers &gt;23m), hospitals</w:t>
            </w:r>
          </w:p>
        </w:tc>
      </w:tr>
      <w:tr>
        <w:tc>
          <w:tcPr/>
          <w:p>
            <w:pPr>
              <w:pStyle w:val="Compact"/>
              <w:jc w:val="left"/>
            </w:pPr>
            <w:r>
              <w:rPr>
                <w:b/>
                <w:bCs/>
              </w:rPr>
              <w:t xml:space="preserve">Stage 2</w:t>
            </w:r>
          </w:p>
        </w:tc>
        <w:tc>
          <w:tcPr/>
          <w:p>
            <w:pPr>
              <w:pStyle w:val="Compact"/>
              <w:jc w:val="left"/>
            </w:pPr>
            <w:r>
              <w:t xml:space="preserve">End of Stage 1 until end of Dhu Al-Hijjah 1441H</w:t>
            </w:r>
          </w:p>
        </w:tc>
        <w:tc>
          <w:tcPr/>
          <w:p>
            <w:pPr>
              <w:pStyle w:val="Compact"/>
              <w:jc w:val="left"/>
            </w:pPr>
            <w:r>
              <w:rPr>
                <w:b/>
                <w:bCs/>
              </w:rPr>
              <w:t xml:space="preserve">Plus:</w:t>
            </w:r>
            <w:r>
              <w:t xml:space="preserve"> </w:t>
            </w:r>
            <w:r>
              <w:t xml:space="preserve">Complex buildings (mosques, sports facilities), educational buildings, trading malls, communications towers, industrial buildings and facilities, buildings below 23m, high-risk facilities</w:t>
            </w:r>
          </w:p>
        </w:tc>
      </w:tr>
      <w:tr>
        <w:tc>
          <w:tcPr/>
          <w:p>
            <w:pPr>
              <w:pStyle w:val="Compact"/>
              <w:jc w:val="left"/>
            </w:pPr>
            <w:r>
              <w:rPr>
                <w:b/>
                <w:bCs/>
              </w:rPr>
              <w:t xml:space="preserve">Stage 3</w:t>
            </w:r>
          </w:p>
        </w:tc>
        <w:tc>
          <w:tcPr/>
          <w:p>
            <w:pPr>
              <w:pStyle w:val="Compact"/>
              <w:jc w:val="left"/>
            </w:pPr>
            <w:r>
              <w:t xml:space="preserve">End of Stage 2 until end of Dhu Al-Hijjah 1442H</w:t>
            </w:r>
          </w:p>
        </w:tc>
        <w:tc>
          <w:tcPr/>
          <w:p>
            <w:pPr>
              <w:pStyle w:val="Compact"/>
              <w:jc w:val="left"/>
            </w:pPr>
            <w:r>
              <w:rPr>
                <w:b/>
                <w:bCs/>
              </w:rPr>
              <w:t xml:space="preserve">Plus:</w:t>
            </w:r>
            <w:r>
              <w:t xml:space="preserve"> </w:t>
            </w:r>
            <w:r>
              <w:t xml:space="preserve">Complex buildings (banquet halls, cinemas, theaters), health care centers, hotel furnished apartments, hostels, residential buildings, recreational buildings</w:t>
            </w:r>
          </w:p>
        </w:tc>
      </w:tr>
      <w:tr>
        <w:tc>
          <w:tcPr/>
          <w:p>
            <w:pPr>
              <w:pStyle w:val="Compact"/>
              <w:jc w:val="left"/>
            </w:pPr>
            <w:r>
              <w:rPr>
                <w:b/>
                <w:bCs/>
              </w:rPr>
              <w:t xml:space="preserve">Stage 4</w:t>
            </w:r>
          </w:p>
        </w:tc>
        <w:tc>
          <w:tcPr/>
          <w:p>
            <w:pPr>
              <w:pStyle w:val="Compact"/>
              <w:jc w:val="left"/>
            </w:pPr>
            <w:r>
              <w:t xml:space="preserve">End of Stage 3 until end of Dhu Al-Hijjah 1443H</w:t>
            </w:r>
          </w:p>
        </w:tc>
        <w:tc>
          <w:tcPr/>
          <w:p>
            <w:pPr>
              <w:pStyle w:val="Compact"/>
              <w:jc w:val="left"/>
            </w:pPr>
            <w:r>
              <w:rPr>
                <w:b/>
                <w:bCs/>
              </w:rPr>
              <w:t xml:space="preserve">Plus:</w:t>
            </w:r>
            <w:r>
              <w:t xml:space="preserve"> </w:t>
            </w:r>
            <w:r>
              <w:t xml:space="preserve">Business buildings (airports, banks, television stations, etc.)</w:t>
            </w:r>
          </w:p>
        </w:tc>
      </w:tr>
      <w:tr>
        <w:tc>
          <w:tcPr/>
          <w:p>
            <w:pPr>
              <w:pStyle w:val="Compact"/>
              <w:jc w:val="left"/>
            </w:pPr>
            <w:r>
              <w:rPr>
                <w:b/>
                <w:bCs/>
              </w:rPr>
              <w:t xml:space="preserve">Stage 5</w:t>
            </w:r>
          </w:p>
        </w:tc>
        <w:tc>
          <w:tcPr/>
          <w:p>
            <w:pPr>
              <w:pStyle w:val="Compact"/>
              <w:jc w:val="left"/>
            </w:pPr>
            <w:r>
              <w:t xml:space="preserve">End of Stage 4 until end of Dhu Al-Hijjah 1444H</w:t>
            </w:r>
          </w:p>
        </w:tc>
        <w:tc>
          <w:tcPr/>
          <w:p>
            <w:pPr>
              <w:pStyle w:val="Compact"/>
              <w:jc w:val="left"/>
            </w:pPr>
            <w:r>
              <w:rPr>
                <w:b/>
                <w:bCs/>
              </w:rPr>
              <w:t xml:space="preserve">All types of buildings classified</w:t>
            </w:r>
            <w:r>
              <w:t xml:space="preserve"> </w:t>
            </w:r>
            <w:r>
              <w:t xml:space="preserve">within the code</w:t>
            </w:r>
          </w:p>
        </w:tc>
      </w:tr>
    </w:tbl>
    <w:p>
      <w:r>
        <w:pict>
          <v:rect style="width:0;height:1.5pt" o:hralign="center" o:hrstd="t" o:hr="t"/>
        </w:pict>
      </w:r>
    </w:p>
    <w:p>
      <w:pPr>
        <w:pStyle w:val="FirstParagraph"/>
      </w:pPr>
      <w:r>
        <w:rPr>
          <w:b/>
          <w:bCs/>
        </w:rPr>
        <w:t xml:space="preserve">Issuing Authority:</w:t>
      </w:r>
      <w:r>
        <w:t xml:space="preserve"> </w:t>
      </w:r>
      <w:r>
        <w:t xml:space="preserve">Ministerial Decree No.(1213/GS/39) dated 14/10/1439H, amended by Decree No.(56) dated 03/03/1441H and Decree No.(00004) dated 08/01/1443H</w:t>
      </w:r>
    </w:p>
    <w:p>
      <w:r>
        <w:pict>
          <v:rect style="width:0;height:1.5pt" o:hralign="center" o:hrstd="t" o:hr="t"/>
        </w:pict>
      </w:r>
    </w:p>
    <w:p>
      <w:pPr>
        <w:pStyle w:val="FirstParagraph"/>
      </w:pPr>
      <w:r>
        <w:rPr>
          <w:b/>
          <w:bCs/>
        </w:rPr>
        <w:t xml:space="preserve">User:</w:t>
      </w:r>
    </w:p>
    <w:p>
      <w:pPr>
        <w:pStyle w:val="a0"/>
      </w:pPr>
      <w:r>
        <w:t xml:space="preserve">does they are the rule of construction?</w:t>
      </w:r>
    </w:p>
    <w:p>
      <w:r>
        <w:pict>
          <v:rect style="width:0;height:1.5pt" o:hralign="center" o:hrstd="t" o:hr="t"/>
        </w:pict>
      </w:r>
    </w:p>
    <w:p>
      <w:pPr>
        <w:pStyle w:val="FirstParagraph"/>
      </w:pPr>
      <w:r>
        <w:rPr>
          <w:b/>
          <w:bCs/>
        </w:rPr>
        <w:t xml:space="preserve">Kimi:</w:t>
      </w:r>
    </w:p>
    <w:p>
      <w:pPr>
        <w:pStyle w:val="a0"/>
      </w:pPr>
      <w:r>
        <w:t xml:space="preserve">Yes, these are the</w:t>
      </w:r>
      <w:r>
        <w:t xml:space="preserve"> </w:t>
      </w:r>
      <w:r>
        <w:rPr>
          <w:b/>
          <w:bCs/>
        </w:rPr>
        <w:t xml:space="preserve">rules of construction</w:t>
      </w:r>
      <w:r>
        <w:t xml:space="preserve"> </w:t>
      </w:r>
      <w:r>
        <w:t xml:space="preserve">for the</w:t>
      </w:r>
      <w:r>
        <w:t xml:space="preserve"> </w:t>
      </w:r>
      <w:r>
        <w:rPr>
          <w:b/>
          <w:bCs/>
        </w:rPr>
        <w:t xml:space="preserve">Kingdom of Saudi Arabia</w:t>
      </w:r>
      <w:r>
        <w:t xml:space="preserve">.</w:t>
      </w:r>
    </w:p>
    <w:p>
      <w:pPr>
        <w:pStyle w:val="a0"/>
      </w:pPr>
      <w:r>
        <w:t xml:space="preserve">Specifically, this document is the</w:t>
      </w:r>
      <w:r>
        <w:t xml:space="preserve"> </w:t>
      </w:r>
      <w:r>
        <w:rPr>
          <w:b/>
          <w:bCs/>
        </w:rPr>
        <w:t xml:space="preserve">Implementing Regulations of the Saudi Building Code Application Law</w:t>
      </w:r>
      <w:r>
        <w:t xml:space="preserve"> </w:t>
      </w:r>
      <w:r>
        <w:t xml:space="preserve">— it establishes the legal and administrative framework that governs how buildings must be designed, constructed, inspected, and occupied in Saudi Arabia.</w:t>
      </w:r>
    </w:p>
    <w:p>
      <w:pPr>
        <w:pStyle w:val="a0"/>
      </w:pPr>
      <w:r>
        <w:t xml:space="preserve">Here’s what makes these</w:t>
      </w:r>
      <w:r>
        <w:t xml:space="preserve"> </w:t>
      </w:r>
      <w:r>
        <w:t xml:space="preserve">“</w:t>
      </w:r>
      <w:r>
        <w:t xml:space="preserve">construction rules</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How These Are Construction Rules</w:t>
            </w:r>
          </w:p>
        </w:tc>
      </w:tr>
      <w:tr>
        <w:tc>
          <w:tcPr/>
          <w:p>
            <w:pPr>
              <w:pStyle w:val="Compact"/>
              <w:jc w:val="left"/>
            </w:pPr>
            <w:r>
              <w:rPr>
                <w:b/>
                <w:bCs/>
              </w:rPr>
              <w:t xml:space="preserve">Building License</w:t>
            </w:r>
          </w:p>
        </w:tc>
        <w:tc>
          <w:tcPr/>
          <w:p>
            <w:pPr>
              <w:pStyle w:val="Compact"/>
              <w:jc w:val="left"/>
            </w:pPr>
            <w:r>
              <w:t xml:space="preserve">No construction can begin without a written permit from the Municipal Body (Article 13).</w:t>
            </w:r>
          </w:p>
        </w:tc>
      </w:tr>
      <w:tr>
        <w:tc>
          <w:tcPr/>
          <w:p>
            <w:pPr>
              <w:pStyle w:val="Compact"/>
              <w:jc w:val="left"/>
            </w:pPr>
            <w:r>
              <w:rPr>
                <w:b/>
                <w:bCs/>
              </w:rPr>
              <w:t xml:space="preserve">Design &amp; Supervision</w:t>
            </w:r>
          </w:p>
        </w:tc>
        <w:tc>
          <w:tcPr/>
          <w:p>
            <w:pPr>
              <w:pStyle w:val="Compact"/>
              <w:jc w:val="left"/>
            </w:pPr>
            <w:r>
              <w:t xml:space="preserve">Only licensed specialists (</w:t>
            </w:r>
            <w:r>
              <w:t xml:space="preserve">“</w:t>
            </w:r>
            <w:r>
              <w:t xml:space="preserve">Approved Designers</w:t>
            </w:r>
            <w:r>
              <w:t xml:space="preserve">”</w:t>
            </w:r>
            <w:r>
              <w:t xml:space="preserve"> </w:t>
            </w:r>
            <w:r>
              <w:t xml:space="preserve">and</w:t>
            </w:r>
            <w:r>
              <w:t xml:space="preserve"> </w:t>
            </w:r>
            <w:r>
              <w:t xml:space="preserve">“</w:t>
            </w:r>
            <w:r>
              <w:t xml:space="preserve">Supervising Designers</w:t>
            </w:r>
            <w:r>
              <w:t xml:space="preserve">”</w:t>
            </w:r>
            <w:r>
              <w:t xml:space="preserve">) can design and oversee construction (Articles 1, 14).</w:t>
            </w:r>
          </w:p>
        </w:tc>
      </w:tr>
      <w:tr>
        <w:tc>
          <w:tcPr/>
          <w:p>
            <w:pPr>
              <w:pStyle w:val="Compact"/>
              <w:jc w:val="left"/>
            </w:pPr>
            <w:r>
              <w:rPr>
                <w:b/>
                <w:bCs/>
              </w:rPr>
              <w:t xml:space="preserve">Technical Standards</w:t>
            </w:r>
          </w:p>
        </w:tc>
        <w:tc>
          <w:tcPr/>
          <w:p>
            <w:pPr>
              <w:pStyle w:val="Compact"/>
              <w:jc w:val="left"/>
            </w:pPr>
            <w:r>
              <w:t xml:space="preserve">The code includes mandatory provisions for structural, architectural, electrical, mechanical, fire protection, and earthquake safety (Article 3).</w:t>
            </w:r>
          </w:p>
        </w:tc>
      </w:tr>
      <w:tr>
        <w:tc>
          <w:tcPr/>
          <w:p>
            <w:pPr>
              <w:pStyle w:val="Compact"/>
              <w:jc w:val="left"/>
            </w:pPr>
            <w:r>
              <w:rPr>
                <w:b/>
                <w:bCs/>
              </w:rPr>
              <w:t xml:space="preserve">Inspection</w:t>
            </w:r>
          </w:p>
        </w:tc>
        <w:tc>
          <w:tcPr/>
          <w:p>
            <w:pPr>
              <w:pStyle w:val="Compact"/>
              <w:jc w:val="left"/>
            </w:pPr>
            <w:r>
              <w:t xml:space="preserve">Construction must pass sequential stage-by-stage inspections; moving to next stage without approval is prohibited (Article 21).</w:t>
            </w:r>
          </w:p>
        </w:tc>
      </w:tr>
      <w:tr>
        <w:tc>
          <w:tcPr/>
          <w:p>
            <w:pPr>
              <w:pStyle w:val="Compact"/>
              <w:jc w:val="left"/>
            </w:pPr>
            <w:r>
              <w:rPr>
                <w:b/>
                <w:bCs/>
              </w:rPr>
              <w:t xml:space="preserve">Occupancy</w:t>
            </w:r>
          </w:p>
        </w:tc>
        <w:tc>
          <w:tcPr/>
          <w:p>
            <w:pPr>
              <w:pStyle w:val="Compact"/>
              <w:jc w:val="left"/>
            </w:pPr>
            <w:r>
              <w:t xml:space="preserve">No building can be used until a</w:t>
            </w:r>
            <w:r>
              <w:t xml:space="preserve"> </w:t>
            </w:r>
            <w:r>
              <w:rPr>
                <w:b/>
                <w:bCs/>
              </w:rPr>
              <w:t xml:space="preserve">Certificate of Occupancy</w:t>
            </w:r>
            <w:r>
              <w:t xml:space="preserve"> </w:t>
            </w:r>
            <w:r>
              <w:t xml:space="preserve">is issued, confirming code compliance (Articles 16–18).</w:t>
            </w:r>
          </w:p>
        </w:tc>
      </w:tr>
      <w:tr>
        <w:tc>
          <w:tcPr/>
          <w:p>
            <w:pPr>
              <w:pStyle w:val="Compact"/>
              <w:jc w:val="left"/>
            </w:pPr>
            <w:r>
              <w:rPr>
                <w:b/>
                <w:bCs/>
              </w:rPr>
              <w:t xml:space="preserve">Contractor Liability</w:t>
            </w:r>
          </w:p>
        </w:tc>
        <w:tc>
          <w:tcPr/>
          <w:p>
            <w:pPr>
              <w:pStyle w:val="Compact"/>
              <w:jc w:val="left"/>
            </w:pPr>
            <w:r>
              <w:t xml:space="preserve">Contractors and supervising designers are jointly liable for</w:t>
            </w:r>
            <w:r>
              <w:t xml:space="preserve"> </w:t>
            </w:r>
            <w:r>
              <w:rPr>
                <w:b/>
                <w:bCs/>
              </w:rPr>
              <w:t xml:space="preserve">10 years</w:t>
            </w:r>
            <w:r>
              <w:t xml:space="preserve"> </w:t>
            </w:r>
            <w:r>
              <w:t xml:space="preserve">for hidden defects or building collapse (Article 29).</w:t>
            </w:r>
          </w:p>
        </w:tc>
      </w:tr>
      <w:tr>
        <w:tc>
          <w:tcPr/>
          <w:p>
            <w:pPr>
              <w:pStyle w:val="Compact"/>
              <w:jc w:val="left"/>
            </w:pPr>
            <w:r>
              <w:rPr>
                <w:b/>
                <w:bCs/>
              </w:rPr>
              <w:t xml:space="preserve">Fire &amp; Energy</w:t>
            </w:r>
          </w:p>
        </w:tc>
        <w:tc>
          <w:tcPr/>
          <w:p>
            <w:pPr>
              <w:pStyle w:val="Compact"/>
              <w:jc w:val="left"/>
            </w:pPr>
            <w:r>
              <w:t xml:space="preserve">Thermal insulation and fire protection systems apply immediately to all works (Article 6).</w:t>
            </w:r>
          </w:p>
        </w:tc>
      </w:tr>
    </w:tbl>
    <w:p>
      <w:pPr>
        <w:pStyle w:val="a0"/>
      </w:pPr>
      <w:r>
        <w:t xml:space="preserve">So while this document is the</w:t>
      </w:r>
      <w:r>
        <w:t xml:space="preserve"> </w:t>
      </w:r>
      <w:r>
        <w:rPr>
          <w:b/>
          <w:bCs/>
        </w:rPr>
        <w:t xml:space="preserve">regulatory law</w:t>
      </w:r>
      <w:r>
        <w:t xml:space="preserve"> </w:t>
      </w:r>
      <w:r>
        <w:t xml:space="preserve">(the</w:t>
      </w:r>
      <w:r>
        <w:t xml:space="preserve"> </w:t>
      </w:r>
      <w:r>
        <w:t xml:space="preserve">“</w:t>
      </w:r>
      <w:r>
        <w:t xml:space="preserve">rules about the rules</w:t>
      </w:r>
      <w:r>
        <w:t xml:space="preserve">”</w:t>
      </w:r>
      <w:r>
        <w:t xml:space="preserve">), it enforces the actual</w:t>
      </w:r>
      <w:r>
        <w:t xml:space="preserve"> </w:t>
      </w:r>
      <w:r>
        <w:rPr>
          <w:b/>
          <w:bCs/>
        </w:rPr>
        <w:t xml:space="preserve">Saudi Building Code (SBC)</w:t>
      </w:r>
      <w:r>
        <w:t xml:space="preserve"> </w:t>
      </w:r>
      <w:r>
        <w:t xml:space="preserve">technical standards — which are the detailed engineering and construction specifications referenced throughout.</w:t>
      </w:r>
    </w:p>
    <w:p>
      <w:r>
        <w:pict>
          <v:rect style="width:0;height:1.5pt" o:hralign="center" o:hrstd="t" o:hr="t"/>
        </w:pict>
      </w:r>
    </w:p>
    <w:p>
      <w:pPr>
        <w:pStyle w:val="FirstParagraph"/>
      </w:pPr>
      <w:r>
        <w:rPr>
          <w:b/>
          <w:bCs/>
        </w:rPr>
        <w:t xml:space="preserve">User:</w:t>
      </w:r>
    </w:p>
    <w:p>
      <w:pPr>
        <w:pStyle w:val="a0"/>
      </w:pPr>
      <w:r>
        <w:t xml:space="preserve">i dont think contain actual constructoin rules ?</w:t>
      </w:r>
    </w:p>
    <w:p>
      <w:r>
        <w:pict>
          <v:rect style="width:0;height:1.5pt" o:hralign="center" o:hrstd="t" o:hr="t"/>
        </w:pict>
      </w:r>
    </w:p>
    <w:p>
      <w:pPr>
        <w:pStyle w:val="FirstParagraph"/>
      </w:pPr>
      <w:r>
        <w:rPr>
          <w:b/>
          <w:bCs/>
        </w:rPr>
        <w:t xml:space="preserve">Kimi:</w:t>
      </w:r>
    </w:p>
    <w:p>
      <w:pPr>
        <w:pStyle w:val="a0"/>
      </w:pPr>
      <w:r>
        <w:t xml:space="preserve">You are correct. This document does</w:t>
      </w:r>
      <w:r>
        <w:t xml:space="preserve"> </w:t>
      </w:r>
      <w:r>
        <w:rPr>
          <w:b/>
          <w:bCs/>
        </w:rPr>
        <w:t xml:space="preserve">not</w:t>
      </w:r>
      <w:r>
        <w:t xml:space="preserve"> </w:t>
      </w:r>
      <w:r>
        <w:t xml:space="preserve">contain the actual construction rules.</w:t>
      </w:r>
    </w:p>
    <w:p>
      <w:pPr>
        <w:pStyle w:val="a0"/>
      </w:pPr>
      <w:r>
        <w:t xml:space="preserve">What this document contains is the</w:t>
      </w:r>
      <w:r>
        <w:t xml:space="preserve"> </w:t>
      </w:r>
      <w:r>
        <w:rPr>
          <w:b/>
          <w:bCs/>
        </w:rPr>
        <w:t xml:space="preserve">administrative and legal framework</w:t>
      </w:r>
      <w:r>
        <w:t xml:space="preserve"> </w:t>
      </w:r>
      <w:r>
        <w:t xml:space="preserve">for enforcing the Saudi Building Code — essentially the</w:t>
      </w:r>
      <w:r>
        <w:t xml:space="preserve"> </w:t>
      </w:r>
      <w:r>
        <w:t xml:space="preserve">“</w:t>
      </w:r>
      <w:r>
        <w:t xml:space="preserve">rules about how to apply the rules.</w:t>
      </w:r>
      <w:r>
        <w:t xml:space="preserve">”</w:t>
      </w:r>
      <w:r>
        <w:t xml:space="preserve"> </w:t>
      </w:r>
      <w:r>
        <w:t xml:space="preserve">The actual technical construction rules (structural calculations, material specifications, fire resistance ratings, electrical wiring standards, plumbing requirements, etc.) are in the</w:t>
      </w:r>
      <w:r>
        <w:t xml:space="preserve"> </w:t>
      </w:r>
      <w:r>
        <w:rPr>
          <w:b/>
          <w:bCs/>
        </w:rPr>
        <w:t xml:space="preserve">Saudi Building Code (SBC)</w:t>
      </w:r>
      <w:r>
        <w:t xml:space="preserve"> </w:t>
      </w:r>
      <w:r>
        <w:t xml:space="preserve">technical volumes themselves, which are separate documents.</w:t>
      </w:r>
    </w:p>
    <w:p>
      <w:pPr>
        <w:pStyle w:val="a0"/>
      </w:pPr>
      <w:r>
        <w:t xml:space="preserve">Here’s the distinction: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This Document (Implementing Regulations)</w:t>
            </w:r>
          </w:p>
        </w:tc>
        <w:tc>
          <w:tcPr/>
          <w:p>
            <w:pPr>
              <w:pStyle w:val="Compact"/>
              <w:jc w:val="left"/>
            </w:pPr>
            <w:r>
              <w:t xml:space="preserve">Actual Construction Rules (SBC Technical Codes)</w:t>
            </w:r>
          </w:p>
        </w:tc>
      </w:tr>
      <w:tr>
        <w:tc>
          <w:tcPr/>
          <w:p>
            <w:pPr>
              <w:pStyle w:val="Compact"/>
              <w:jc w:val="left"/>
            </w:pPr>
            <w:r>
              <w:t xml:space="preserve">Who can issue licenses</w:t>
            </w:r>
          </w:p>
        </w:tc>
        <w:tc>
          <w:tcPr/>
          <w:p>
            <w:pPr>
              <w:pStyle w:val="Compact"/>
              <w:jc w:val="left"/>
            </w:pPr>
            <w:r>
              <w:t xml:space="preserve">How to calculate load-bearing capacity</w:t>
            </w:r>
          </w:p>
        </w:tc>
      </w:tr>
      <w:tr>
        <w:tc>
          <w:tcPr/>
          <w:p>
            <w:pPr>
              <w:pStyle w:val="Compact"/>
              <w:jc w:val="left"/>
            </w:pPr>
            <w:r>
              <w:t xml:space="preserve">How to apply for occupancy certificate</w:t>
            </w:r>
          </w:p>
        </w:tc>
        <w:tc>
          <w:tcPr/>
          <w:p>
            <w:pPr>
              <w:pStyle w:val="Compact"/>
              <w:jc w:val="left"/>
            </w:pPr>
            <w:r>
              <w:t xml:space="preserve">Concrete mix specifications</w:t>
            </w:r>
          </w:p>
        </w:tc>
      </w:tr>
      <w:tr>
        <w:tc>
          <w:tcPr/>
          <w:p>
            <w:pPr>
              <w:pStyle w:val="Compact"/>
              <w:jc w:val="left"/>
            </w:pPr>
            <w:r>
              <w:t xml:space="preserve">10-year liability for contractors</w:t>
            </w:r>
          </w:p>
        </w:tc>
        <w:tc>
          <w:tcPr/>
          <w:p>
            <w:pPr>
              <w:pStyle w:val="Compact"/>
              <w:jc w:val="left"/>
            </w:pPr>
            <w:r>
              <w:t xml:space="preserve">Minimum fire door ratings</w:t>
            </w:r>
          </w:p>
        </w:tc>
      </w:tr>
      <w:tr>
        <w:tc>
          <w:tcPr/>
          <w:p>
            <w:pPr>
              <w:pStyle w:val="Compact"/>
              <w:jc w:val="left"/>
            </w:pPr>
            <w:r>
              <w:t xml:space="preserve">Staged implementation timeline</w:t>
            </w:r>
          </w:p>
        </w:tc>
        <w:tc>
          <w:tcPr/>
          <w:p>
            <w:pPr>
              <w:pStyle w:val="Compact"/>
              <w:jc w:val="left"/>
            </w:pPr>
            <w:r>
              <w:t xml:space="preserve">Electrical panel installation standards</w:t>
            </w:r>
          </w:p>
        </w:tc>
      </w:tr>
      <w:tr>
        <w:tc>
          <w:tcPr/>
          <w:p>
            <w:pPr>
              <w:pStyle w:val="Compact"/>
              <w:jc w:val="left"/>
            </w:pPr>
            <w:r>
              <w:t xml:space="preserve">Duties of government authorities</w:t>
            </w:r>
          </w:p>
        </w:tc>
        <w:tc>
          <w:tcPr/>
          <w:p>
            <w:pPr>
              <w:pStyle w:val="Compact"/>
              <w:jc w:val="left"/>
            </w:pPr>
            <w:r>
              <w:t xml:space="preserve">Seismic design coefficients</w:t>
            </w:r>
          </w:p>
        </w:tc>
      </w:tr>
      <w:tr>
        <w:tc>
          <w:tcPr/>
          <w:p>
            <w:pPr>
              <w:pStyle w:val="Compact"/>
              <w:jc w:val="left"/>
            </w:pPr>
            <w:r>
              <w:t xml:space="preserve">Penalties for violations</w:t>
            </w:r>
          </w:p>
        </w:tc>
        <w:tc>
          <w:tcPr/>
          <w:p>
            <w:pPr>
              <w:pStyle w:val="Compact"/>
              <w:jc w:val="left"/>
            </w:pPr>
            <w:r>
              <w:t xml:space="preserve">Plumbing pipe sizing requirements</w:t>
            </w:r>
          </w:p>
        </w:tc>
      </w:tr>
    </w:tbl>
    <w:p>
      <w:pPr>
        <w:pStyle w:val="a0"/>
      </w:pPr>
      <w:r>
        <w:t xml:space="preserve">The implementing regulations say</w:t>
      </w:r>
      <w:r>
        <w:t xml:space="preserve"> </w:t>
      </w:r>
      <w:r>
        <w:rPr>
          <w:b/>
          <w:bCs/>
        </w:rPr>
        <w:t xml:space="preserve">“</w:t>
      </w:r>
      <w:r>
        <w:rPr>
          <w:b/>
          <w:bCs/>
        </w:rPr>
        <w:t xml:space="preserve">you must follow the code</w:t>
      </w:r>
      <w:r>
        <w:rPr>
          <w:b/>
          <w:bCs/>
        </w:rPr>
        <w:t xml:space="preserve">”</w:t>
      </w:r>
      <w:r>
        <w:t xml:space="preserve"> </w:t>
      </w:r>
      <w:r>
        <w:t xml:space="preserve">— but the actual</w:t>
      </w:r>
      <w:r>
        <w:t xml:space="preserve"> </w:t>
      </w:r>
      <w:r>
        <w:rPr>
          <w:b/>
          <w:bCs/>
        </w:rPr>
        <w:t xml:space="preserve">“</w:t>
      </w:r>
      <w:r>
        <w:rPr>
          <w:b/>
          <w:bCs/>
        </w:rPr>
        <w:t xml:space="preserve">code</w:t>
      </w:r>
      <w:r>
        <w:rPr>
          <w:b/>
          <w:bCs/>
        </w:rPr>
        <w:t xml:space="preserve">”</w:t>
      </w:r>
      <w:r>
        <w:t xml:space="preserve"> </w:t>
      </w:r>
      <w:r>
        <w:t xml:space="preserve">with the engineering numbers, formulas, and material requirements is published separately by the Saudi Building Code National Committee at www.sbc.gov.sa.</w:t>
      </w:r>
    </w:p>
    <w:p>
      <w:pPr>
        <w:pStyle w:val="a0"/>
      </w:pPr>
      <w:r>
        <w:t xml:space="preserve">So if you need the real construction rules, you would need to access the individual SBC technical volumes (SBC 101, SBC 201, SBC 301, etc.) directly.</w:t>
      </w:r>
    </w:p>
    <w:p>
      <w:r>
        <w:pict>
          <v:rect style="width:0;height:1.5pt" o:hralign="center" o:hrstd="t" o:hr="t"/>
        </w:pict>
      </w:r>
    </w:p>
    <w:p>
      <w:pPr>
        <w:pStyle w:val="FirstParagraph"/>
      </w:pPr>
      <w:r>
        <w:rPr>
          <w:b/>
          <w:bCs/>
        </w:rPr>
        <w:t xml:space="preserve">User:</w:t>
      </w:r>
    </w:p>
    <w:p>
      <w:pPr>
        <w:pStyle w:val="a0"/>
      </w:pPr>
      <w:r>
        <w:t xml:space="preserve">can you give me links of it</w:t>
      </w:r>
    </w:p>
    <w:p>
      <w:r>
        <w:pict>
          <v:rect style="width:0;height:1.5pt" o:hralign="center" o:hrstd="t" o:hr="t"/>
        </w:pict>
      </w:r>
    </w:p>
    <w:p>
      <w:pPr>
        <w:pStyle w:val="FirstParagraph"/>
      </w:pPr>
      <w:r>
        <w:rPr>
          <w:b/>
          <w:bCs/>
        </w:rPr>
        <w:t xml:space="preserve">Kimi:</w:t>
      </w:r>
    </w:p>
    <w:p>
      <w:pPr>
        <w:pStyle w:val="a0"/>
      </w:pPr>
      <w:r>
        <w:t xml:space="preserve">I’ll search for the actual Saudi Building Code technical documents and their official links.Here are the official links to the actual Saudi Building Code technical volumes with the real construction rules:</w:t>
      </w:r>
    </w:p>
    <w:p>
      <w:r>
        <w:pict>
          <v:rect style="width:0;height:1.5pt" o:hralign="center" o:hrstd="t" o:hr="t"/>
        </w:pict>
      </w:r>
    </w:p>
    <w:bookmarkEnd w:id="35"/>
    <w:bookmarkStart w:id="37" w:name="official-website"/>
    <w:p>
      <w:pPr>
        <w:pStyle w:val="2"/>
      </w:pPr>
      <w:r>
        <w:t xml:space="preserve">Official Website</w:t>
      </w:r>
    </w:p>
    <w:p>
      <w:pPr>
        <w:pStyle w:val="FirstParagraph"/>
      </w:pPr>
      <w:r>
        <w:rPr>
          <w:b/>
          <w:bCs/>
        </w:rPr>
        <w:t xml:space="preserve">Main portal:</w:t>
      </w:r>
      <w:r>
        <w:t xml:space="preserve"> </w:t>
      </w:r>
      <w:hyperlink r:id="rId36">
        <w:r>
          <w:rPr>
            <w:rStyle w:val="af"/>
          </w:rPr>
          <w:t xml:space="preserve">www.sbc.gov.sa</w:t>
        </w:r>
      </w:hyperlink>
    </w:p>
    <w:p>
      <w:r>
        <w:pict>
          <v:rect style="width:0;height:1.5pt" o:hralign="center" o:hrstd="t" o:hr="t"/>
        </w:pict>
      </w:r>
    </w:p>
    <w:bookmarkEnd w:id="37"/>
    <w:bookmarkStart w:id="41" w:name="direct-pdf-links-to-technical-codes"/>
    <w:p>
      <w:pPr>
        <w:pStyle w:val="2"/>
      </w:pPr>
      <w:r>
        <w:t xml:space="preserve">Direct PDF Links to Technical Codes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Title</w:t>
            </w:r>
          </w:p>
        </w:tc>
        <w:tc>
          <w:tcPr/>
          <w:p>
            <w:pPr>
              <w:pStyle w:val="Compact"/>
              <w:jc w:val="left"/>
            </w:pPr>
            <w:r>
              <w:t xml:space="preserve">Direct Link</w:t>
            </w:r>
          </w:p>
        </w:tc>
      </w:tr>
      <w:tr>
        <w:tc>
          <w:tcPr/>
          <w:p>
            <w:pPr>
              <w:pStyle w:val="Compact"/>
              <w:jc w:val="left"/>
            </w:pPr>
            <w:r>
              <w:rPr>
                <w:b/>
                <w:bCs/>
              </w:rPr>
              <w:t xml:space="preserve">SBC 201</w:t>
            </w:r>
          </w:p>
        </w:tc>
        <w:tc>
          <w:tcPr/>
          <w:p>
            <w:pPr>
              <w:pStyle w:val="Compact"/>
              <w:jc w:val="left"/>
            </w:pPr>
            <w:r>
              <w:t xml:space="preserve">Saudi General Building Code (Administrative &amp; Architectural)</w:t>
            </w:r>
          </w:p>
        </w:tc>
        <w:tc>
          <w:tcPr/>
          <w:p>
            <w:pPr>
              <w:pStyle w:val="Compact"/>
              <w:jc w:val="left"/>
            </w:pPr>
            <w:hyperlink r:id="rId38">
              <w:r>
                <w:rPr>
                  <w:rStyle w:val="af"/>
                </w:rPr>
                <w:t xml:space="preserve">SBC 201 - CR PDF</w:t>
              </w:r>
            </w:hyperlink>
          </w:p>
        </w:tc>
      </w:tr>
      <w:tr>
        <w:tc>
          <w:tcPr/>
          <w:p>
            <w:pPr>
              <w:pStyle w:val="Compact"/>
              <w:jc w:val="left"/>
            </w:pPr>
            <w:r>
              <w:rPr>
                <w:b/>
                <w:bCs/>
              </w:rPr>
              <w:t xml:space="preserve">SBC 301</w:t>
            </w:r>
          </w:p>
        </w:tc>
        <w:tc>
          <w:tcPr/>
          <w:p>
            <w:pPr>
              <w:pStyle w:val="Compact"/>
              <w:jc w:val="left"/>
            </w:pPr>
            <w:r>
              <w:t xml:space="preserve">Structural — Loading and Forces</w:t>
            </w:r>
          </w:p>
        </w:tc>
        <w:tc>
          <w:tcPr/>
          <w:p>
            <w:pPr>
              <w:pStyle w:val="Compact"/>
              <w:jc w:val="left"/>
            </w:pPr>
            <w:hyperlink r:id="rId39">
              <w:r>
                <w:rPr>
                  <w:rStyle w:val="af"/>
                </w:rPr>
                <w:t xml:space="preserve">SBC301.pdf</w:t>
              </w:r>
            </w:hyperlink>
          </w:p>
        </w:tc>
      </w:tr>
      <w:tr>
        <w:tc>
          <w:tcPr/>
          <w:p>
            <w:pPr>
              <w:pStyle w:val="Compact"/>
              <w:jc w:val="left"/>
            </w:pPr>
            <w:r>
              <w:rPr>
                <w:b/>
                <w:bCs/>
              </w:rPr>
              <w:t xml:space="preserve">SBC 302</w:t>
            </w:r>
          </w:p>
        </w:tc>
        <w:tc>
          <w:tcPr/>
          <w:p>
            <w:pPr>
              <w:pStyle w:val="Compact"/>
              <w:jc w:val="left"/>
            </w:pPr>
            <w:r>
              <w:t xml:space="preserve">Structural — Testing and Inspection</w:t>
            </w:r>
          </w:p>
        </w:tc>
        <w:tc>
          <w:tcPr/>
          <w:p>
            <w:pPr>
              <w:pStyle w:val="Compact"/>
              <w:jc w:val="left"/>
            </w:pPr>
            <w:r>
              <w:t xml:space="preserve">Available via sbc.gov.sa</w:t>
            </w:r>
          </w:p>
        </w:tc>
      </w:tr>
      <w:tr>
        <w:tc>
          <w:tcPr/>
          <w:p>
            <w:pPr>
              <w:pStyle w:val="Compact"/>
              <w:jc w:val="left"/>
            </w:pPr>
            <w:r>
              <w:rPr>
                <w:b/>
                <w:bCs/>
              </w:rPr>
              <w:t xml:space="preserve">SBC 303</w:t>
            </w:r>
          </w:p>
        </w:tc>
        <w:tc>
          <w:tcPr/>
          <w:p>
            <w:pPr>
              <w:pStyle w:val="Compact"/>
              <w:jc w:val="left"/>
            </w:pPr>
            <w:r>
              <w:t xml:space="preserve">Structural — Soil and Foundations</w:t>
            </w:r>
          </w:p>
        </w:tc>
        <w:tc>
          <w:tcPr/>
          <w:p>
            <w:pPr>
              <w:pStyle w:val="Compact"/>
              <w:jc w:val="left"/>
            </w:pPr>
            <w:r>
              <w:t xml:space="preserve">Available via sbc.gov.sa</w:t>
            </w:r>
          </w:p>
        </w:tc>
      </w:tr>
      <w:tr>
        <w:tc>
          <w:tcPr/>
          <w:p>
            <w:pPr>
              <w:pStyle w:val="Compact"/>
              <w:jc w:val="left"/>
            </w:pPr>
            <w:r>
              <w:rPr>
                <w:b/>
                <w:bCs/>
              </w:rPr>
              <w:t xml:space="preserve">SBC 304</w:t>
            </w:r>
          </w:p>
        </w:tc>
        <w:tc>
          <w:tcPr/>
          <w:p>
            <w:pPr>
              <w:pStyle w:val="Compact"/>
              <w:jc w:val="left"/>
            </w:pPr>
            <w:r>
              <w:t xml:space="preserve">Structural — Concrete Structures</w:t>
            </w:r>
          </w:p>
        </w:tc>
        <w:tc>
          <w:tcPr/>
          <w:p>
            <w:pPr>
              <w:pStyle w:val="Compact"/>
              <w:jc w:val="left"/>
            </w:pPr>
            <w:hyperlink r:id="rId40">
              <w:r>
                <w:rPr>
                  <w:rStyle w:val="af"/>
                </w:rPr>
                <w:t xml:space="preserve">SBC304c.pdf (Commentary)</w:t>
              </w:r>
            </w:hyperlink>
          </w:p>
        </w:tc>
      </w:tr>
      <w:tr>
        <w:tc>
          <w:tcPr/>
          <w:p>
            <w:pPr>
              <w:pStyle w:val="Compact"/>
              <w:jc w:val="left"/>
            </w:pPr>
            <w:r>
              <w:rPr>
                <w:b/>
                <w:bCs/>
              </w:rPr>
              <w:t xml:space="preserve">SBC 305</w:t>
            </w:r>
          </w:p>
        </w:tc>
        <w:tc>
          <w:tcPr/>
          <w:p>
            <w:pPr>
              <w:pStyle w:val="Compact"/>
              <w:jc w:val="left"/>
            </w:pPr>
            <w:r>
              <w:t xml:space="preserve">Structural — Masonry Structures</w:t>
            </w:r>
          </w:p>
        </w:tc>
        <w:tc>
          <w:tcPr/>
          <w:p>
            <w:pPr>
              <w:pStyle w:val="Compact"/>
              <w:jc w:val="left"/>
            </w:pPr>
            <w:r>
              <w:t xml:space="preserve">Available via sbc.gov.sa</w:t>
            </w:r>
          </w:p>
        </w:tc>
      </w:tr>
      <w:tr>
        <w:tc>
          <w:tcPr/>
          <w:p>
            <w:pPr>
              <w:pStyle w:val="Compact"/>
              <w:jc w:val="left"/>
            </w:pPr>
            <w:r>
              <w:rPr>
                <w:b/>
                <w:bCs/>
              </w:rPr>
              <w:t xml:space="preserve">SBC 306</w:t>
            </w:r>
          </w:p>
        </w:tc>
        <w:tc>
          <w:tcPr/>
          <w:p>
            <w:pPr>
              <w:pStyle w:val="Compact"/>
              <w:jc w:val="left"/>
            </w:pPr>
            <w:r>
              <w:t xml:space="preserve">Structural — Steel Structures</w:t>
            </w:r>
          </w:p>
        </w:tc>
        <w:tc>
          <w:tcPr/>
          <w:p>
            <w:pPr>
              <w:pStyle w:val="Compact"/>
              <w:jc w:val="left"/>
            </w:pPr>
            <w:r>
              <w:t xml:space="preserve">Available via sbc.gov.sa</w:t>
            </w:r>
          </w:p>
        </w:tc>
      </w:tr>
      <w:tr>
        <w:tc>
          <w:tcPr/>
          <w:p>
            <w:pPr>
              <w:pStyle w:val="Compact"/>
              <w:jc w:val="left"/>
            </w:pPr>
            <w:r>
              <w:rPr>
                <w:b/>
                <w:bCs/>
              </w:rPr>
              <w:t xml:space="preserve">SBC 401</w:t>
            </w:r>
          </w:p>
        </w:tc>
        <w:tc>
          <w:tcPr/>
          <w:p>
            <w:pPr>
              <w:pStyle w:val="Compact"/>
              <w:jc w:val="left"/>
            </w:pPr>
            <w:r>
              <w:t xml:space="preserve">Electrical Code</w:t>
            </w:r>
          </w:p>
        </w:tc>
        <w:tc>
          <w:tcPr/>
          <w:p>
            <w:pPr>
              <w:pStyle w:val="Compact"/>
              <w:jc w:val="left"/>
            </w:pPr>
            <w:r>
              <w:t xml:space="preserve">Available via sbc.gov.sa</w:t>
            </w:r>
          </w:p>
        </w:tc>
      </w:tr>
      <w:tr>
        <w:tc>
          <w:tcPr/>
          <w:p>
            <w:pPr>
              <w:pStyle w:val="Compact"/>
              <w:jc w:val="left"/>
            </w:pPr>
            <w:r>
              <w:rPr>
                <w:b/>
                <w:bCs/>
              </w:rPr>
              <w:t xml:space="preserve">SBC 501</w:t>
            </w:r>
          </w:p>
        </w:tc>
        <w:tc>
          <w:tcPr/>
          <w:p>
            <w:pPr>
              <w:pStyle w:val="Compact"/>
              <w:jc w:val="left"/>
            </w:pPr>
            <w:r>
              <w:t xml:space="preserve">Mechanical Code</w:t>
            </w:r>
          </w:p>
        </w:tc>
        <w:tc>
          <w:tcPr/>
          <w:p>
            <w:pPr>
              <w:pStyle w:val="Compact"/>
              <w:jc w:val="left"/>
            </w:pPr>
            <w:r>
              <w:t xml:space="preserve">Available via sbc.gov.sa</w:t>
            </w:r>
          </w:p>
        </w:tc>
      </w:tr>
      <w:tr>
        <w:tc>
          <w:tcPr/>
          <w:p>
            <w:pPr>
              <w:pStyle w:val="Compact"/>
              <w:jc w:val="left"/>
            </w:pPr>
            <w:r>
              <w:rPr>
                <w:b/>
                <w:bCs/>
              </w:rPr>
              <w:t xml:space="preserve">SBC 601</w:t>
            </w:r>
          </w:p>
        </w:tc>
        <w:tc>
          <w:tcPr/>
          <w:p>
            <w:pPr>
              <w:pStyle w:val="Compact"/>
              <w:jc w:val="left"/>
            </w:pPr>
            <w:r>
              <w:t xml:space="preserve">Energy Conservation — Non-Residential</w:t>
            </w:r>
          </w:p>
        </w:tc>
        <w:tc>
          <w:tcPr/>
          <w:p>
            <w:pPr>
              <w:pStyle w:val="Compact"/>
              <w:jc w:val="left"/>
            </w:pPr>
            <w:r>
              <w:t xml:space="preserve">Available via sbc.gov.sa</w:t>
            </w:r>
          </w:p>
        </w:tc>
      </w:tr>
      <w:tr>
        <w:tc>
          <w:tcPr/>
          <w:p>
            <w:pPr>
              <w:pStyle w:val="Compact"/>
              <w:jc w:val="left"/>
            </w:pPr>
            <w:r>
              <w:rPr>
                <w:b/>
                <w:bCs/>
              </w:rPr>
              <w:t xml:space="preserve">SBC 602</w:t>
            </w:r>
          </w:p>
        </w:tc>
        <w:tc>
          <w:tcPr/>
          <w:p>
            <w:pPr>
              <w:pStyle w:val="Compact"/>
              <w:jc w:val="left"/>
            </w:pPr>
            <w:r>
              <w:t xml:space="preserve">Energy Conservation — Residential</w:t>
            </w:r>
          </w:p>
        </w:tc>
        <w:tc>
          <w:tcPr/>
          <w:p>
            <w:pPr>
              <w:pStyle w:val="Compact"/>
              <w:jc w:val="left"/>
            </w:pPr>
            <w:r>
              <w:t xml:space="preserve">Available via sbc.gov.sa</w:t>
            </w:r>
          </w:p>
        </w:tc>
      </w:tr>
      <w:tr>
        <w:tc>
          <w:tcPr/>
          <w:p>
            <w:pPr>
              <w:pStyle w:val="Compact"/>
              <w:jc w:val="left"/>
            </w:pPr>
            <w:r>
              <w:rPr>
                <w:b/>
                <w:bCs/>
              </w:rPr>
              <w:t xml:space="preserve">SBC 701</w:t>
            </w:r>
          </w:p>
        </w:tc>
        <w:tc>
          <w:tcPr/>
          <w:p>
            <w:pPr>
              <w:pStyle w:val="Compact"/>
              <w:jc w:val="left"/>
            </w:pPr>
            <w:r>
              <w:t xml:space="preserve">Sanitary Code</w:t>
            </w:r>
          </w:p>
        </w:tc>
        <w:tc>
          <w:tcPr/>
          <w:p>
            <w:pPr>
              <w:pStyle w:val="Compact"/>
              <w:jc w:val="left"/>
            </w:pPr>
            <w:r>
              <w:t xml:space="preserve">Available via sbc.gov.sa</w:t>
            </w:r>
          </w:p>
        </w:tc>
      </w:tr>
      <w:tr>
        <w:tc>
          <w:tcPr/>
          <w:p>
            <w:pPr>
              <w:pStyle w:val="Compact"/>
              <w:jc w:val="left"/>
            </w:pPr>
            <w:r>
              <w:rPr>
                <w:b/>
                <w:bCs/>
              </w:rPr>
              <w:t xml:space="preserve">SBC 702</w:t>
            </w:r>
          </w:p>
        </w:tc>
        <w:tc>
          <w:tcPr/>
          <w:p>
            <w:pPr>
              <w:pStyle w:val="Compact"/>
              <w:jc w:val="left"/>
            </w:pPr>
            <w:r>
              <w:t xml:space="preserve">Sanitary Code (supplementary)</w:t>
            </w:r>
          </w:p>
        </w:tc>
        <w:tc>
          <w:tcPr/>
          <w:p>
            <w:pPr>
              <w:pStyle w:val="Compact"/>
              <w:jc w:val="left"/>
            </w:pPr>
            <w:r>
              <w:t xml:space="preserve">Available via sbc.gov.sa</w:t>
            </w:r>
          </w:p>
        </w:tc>
      </w:tr>
      <w:tr>
        <w:tc>
          <w:tcPr/>
          <w:p>
            <w:pPr>
              <w:pStyle w:val="Compact"/>
              <w:jc w:val="left"/>
            </w:pPr>
            <w:r>
              <w:rPr>
                <w:b/>
                <w:bCs/>
              </w:rPr>
              <w:t xml:space="preserve">SBC 801</w:t>
            </w:r>
          </w:p>
        </w:tc>
        <w:tc>
          <w:tcPr/>
          <w:p>
            <w:pPr>
              <w:pStyle w:val="Compact"/>
              <w:jc w:val="left"/>
            </w:pPr>
            <w:r>
              <w:t xml:space="preserve">Fire Protection</w:t>
            </w:r>
          </w:p>
        </w:tc>
        <w:tc>
          <w:tcPr/>
          <w:p>
            <w:pPr>
              <w:pStyle w:val="Compact"/>
              <w:jc w:val="left"/>
            </w:pPr>
            <w:r>
              <w:t xml:space="preserve">Available via sbc.gov.sa</w:t>
            </w:r>
          </w:p>
        </w:tc>
      </w:tr>
      <w:tr>
        <w:tc>
          <w:tcPr/>
          <w:p>
            <w:pPr>
              <w:pStyle w:val="Compact"/>
              <w:jc w:val="left"/>
            </w:pPr>
            <w:r>
              <w:rPr>
                <w:b/>
                <w:bCs/>
              </w:rPr>
              <w:t xml:space="preserve">SBC 901</w:t>
            </w:r>
          </w:p>
        </w:tc>
        <w:tc>
          <w:tcPr/>
          <w:p>
            <w:pPr>
              <w:pStyle w:val="Compact"/>
              <w:jc w:val="left"/>
            </w:pPr>
            <w:r>
              <w:t xml:space="preserve">Existing Buildings</w:t>
            </w:r>
          </w:p>
        </w:tc>
        <w:tc>
          <w:tcPr/>
          <w:p>
            <w:pPr>
              <w:pStyle w:val="Compact"/>
              <w:jc w:val="left"/>
            </w:pPr>
            <w:r>
              <w:t xml:space="preserve">Available via sbc.gov.sa</w:t>
            </w:r>
          </w:p>
        </w:tc>
      </w:tr>
      <w:tr>
        <w:tc>
          <w:tcPr/>
          <w:p>
            <w:pPr>
              <w:pStyle w:val="Compact"/>
              <w:jc w:val="left"/>
            </w:pPr>
            <w:r>
              <w:rPr>
                <w:b/>
                <w:bCs/>
              </w:rPr>
              <w:t xml:space="preserve">SBC 1001</w:t>
            </w:r>
          </w:p>
        </w:tc>
        <w:tc>
          <w:tcPr/>
          <w:p>
            <w:pPr>
              <w:pStyle w:val="Compact"/>
              <w:jc w:val="left"/>
            </w:pPr>
            <w:r>
              <w:t xml:space="preserve">Green Buildings</w:t>
            </w:r>
          </w:p>
        </w:tc>
        <w:tc>
          <w:tcPr/>
          <w:p>
            <w:pPr>
              <w:pStyle w:val="Compact"/>
              <w:jc w:val="left"/>
            </w:pPr>
            <w:r>
              <w:t xml:space="preserve">Available via sbc.gov.sa</w:t>
            </w:r>
          </w:p>
        </w:tc>
      </w:tr>
      <w:tr>
        <w:tc>
          <w:tcPr/>
          <w:p>
            <w:pPr>
              <w:pStyle w:val="Compact"/>
              <w:jc w:val="left"/>
            </w:pPr>
            <w:r>
              <w:rPr>
                <w:b/>
                <w:bCs/>
              </w:rPr>
              <w:t xml:space="preserve">SBC 1101</w:t>
            </w:r>
          </w:p>
        </w:tc>
        <w:tc>
          <w:tcPr/>
          <w:p>
            <w:pPr>
              <w:pStyle w:val="Compact"/>
              <w:jc w:val="left"/>
            </w:pPr>
            <w:r>
              <w:t xml:space="preserve">Residential Buildings</w:t>
            </w:r>
          </w:p>
        </w:tc>
        <w:tc>
          <w:tcPr/>
          <w:p>
            <w:pPr>
              <w:pStyle w:val="Compact"/>
              <w:jc w:val="left"/>
            </w:pPr>
            <w:r>
              <w:t xml:space="preserve">Available via sbc.gov.sa</w:t>
            </w:r>
          </w:p>
        </w:tc>
      </w:tr>
    </w:tbl>
    <w:p>
      <w:r>
        <w:pict>
          <v:rect style="width:0;height:1.5pt" o:hralign="center" o:hrstd="t" o:hr="t"/>
        </w:pict>
      </w:r>
    </w:p>
    <w:bookmarkEnd w:id="41"/>
    <w:bookmarkStart w:id="42" w:name="Xeb7a9026b57262b6ad2a8e9e83c2c00581586f1"/>
    <w:p>
      <w:pPr>
        <w:pStyle w:val="2"/>
      </w:pPr>
      <w:r>
        <w:t xml:space="preserve">What These Technical Codes Contain (Examples from Search Results)</w:t>
      </w:r>
    </w:p>
    <w:p>
      <w:pPr>
        <w:pStyle w:val="FirstParagraph"/>
      </w:pPr>
      <w:r>
        <w:t xml:space="preserve">From the actual technical documents found citeweb_search:1#4web_search:1#5:</w:t>
      </w:r>
    </w:p>
    <w:p>
      <w:pPr>
        <w:pStyle w:val="a0"/>
      </w:pPr>
      <w:r>
        <w:rPr>
          <w:b/>
          <w:bCs/>
        </w:rPr>
        <w:t xml:space="preserve">SBC 301 (Loading &amp; Forces):</w:t>
      </w:r>
      <w:r>
        <w:t xml:space="preserve"> </w:t>
      </w:r>
      <w:r>
        <w:t xml:space="preserve">- Minimum load requirements for building design</w:t>
      </w:r>
      <w:r>
        <w:t xml:space="preserve"> </w:t>
      </w:r>
      <w:r>
        <w:t xml:space="preserve">- Load combinations for strength design and allowable stress design</w:t>
      </w:r>
      <w:r>
        <w:t xml:space="preserve"> </w:t>
      </w:r>
      <w:r>
        <w:t xml:space="preserve">- Live load, dead load, wind load, and seismic force calculations</w:t>
      </w:r>
      <w:r>
        <w:t xml:space="preserve"> </w:t>
      </w:r>
      <w:r>
        <w:t xml:space="preserve">- Deflection limits for structural members</w:t>
      </w:r>
      <w:r>
        <w:t xml:space="preserve"> </w:t>
      </w:r>
      <w:r>
        <w:t xml:space="preserve">- Seismic design requirements (site classification, response spectra)</w:t>
      </w:r>
    </w:p>
    <w:p>
      <w:pPr>
        <w:pStyle w:val="a0"/>
      </w:pPr>
      <w:r>
        <w:rPr>
          <w:b/>
          <w:bCs/>
        </w:rPr>
        <w:t xml:space="preserve">SBC 304 (Concrete Structures):</w:t>
      </w:r>
      <w:r>
        <w:t xml:space="preserve"> </w:t>
      </w:r>
      <w:r>
        <w:t xml:space="preserve">- Concrete mix design requirements (e.g., required average compressive strength: f’c + 8.5 MPa for 20–35 MPa concrete)</w:t>
      </w:r>
      <w:r>
        <w:t xml:space="preserve"> </w:t>
      </w:r>
      <w:r>
        <w:t xml:space="preserve">- Durability requirements for Saudi conditions</w:t>
      </w:r>
      <w:r>
        <w:t xml:space="preserve"> </w:t>
      </w:r>
      <w:r>
        <w:t xml:space="preserve">- Hot weather concreting provisions</w:t>
      </w:r>
      <w:r>
        <w:t xml:space="preserve"> </w:t>
      </w:r>
      <w:r>
        <w:t xml:space="preserve">- Saudi steel reinforcement specifications</w:t>
      </w:r>
      <w:r>
        <w:t xml:space="preserve"> </w:t>
      </w:r>
      <w:r>
        <w:t xml:space="preserve">- Quality assurance and testing procedures</w:t>
      </w:r>
    </w:p>
    <w:p>
      <w:pPr>
        <w:pStyle w:val="a0"/>
      </w:pPr>
      <w:r>
        <w:rPr>
          <w:b/>
          <w:bCs/>
        </w:rPr>
        <w:t xml:space="preserve">SBC 201 (General Building Code):</w:t>
      </w:r>
      <w:r>
        <w:t xml:space="preserve"> </w:t>
      </w:r>
      <w:r>
        <w:t xml:space="preserve">- Occupancy classifications (Assembly A, Business B, Educational E, etc.)</w:t>
      </w:r>
      <w:r>
        <w:t xml:space="preserve"> </w:t>
      </w:r>
      <w:r>
        <w:t xml:space="preserve">- Building height and area limitations</w:t>
      </w:r>
      <w:r>
        <w:t xml:space="preserve"> </w:t>
      </w:r>
      <w:r>
        <w:t xml:space="preserve">- Fire resistance ratings</w:t>
      </w:r>
      <w:r>
        <w:t xml:space="preserve"> </w:t>
      </w:r>
      <w:r>
        <w:t xml:space="preserve">- Means of egress requirements</w:t>
      </w:r>
      <w:r>
        <w:t xml:space="preserve"> </w:t>
      </w:r>
      <w:r>
        <w:t xml:space="preserve">- Accessibility requirements</w:t>
      </w:r>
      <w:r>
        <w:t xml:space="preserve"> </w:t>
      </w:r>
      <w:r>
        <w:t xml:space="preserve">- Construction type definitions</w:t>
      </w:r>
    </w:p>
    <w:p>
      <w:r>
        <w:pict>
          <v:rect style="width:0;height:1.5pt" o:hralign="center" o:hrstd="t" o:hr="t"/>
        </w:pict>
      </w:r>
    </w:p>
    <w:bookmarkEnd w:id="42"/>
    <w:bookmarkStart w:id="43" w:name="note"/>
    <w:p>
      <w:pPr>
        <w:pStyle w:val="2"/>
      </w:pPr>
      <w:r>
        <w:t xml:space="preserve">Note</w:t>
      </w:r>
    </w:p>
    <w:p>
      <w:pPr>
        <w:pStyle w:val="FirstParagraph"/>
      </w:pPr>
      <w:r>
        <w:t xml:space="preserve">The official</w:t>
      </w:r>
      <w:r>
        <w:t xml:space="preserve"> </w:t>
      </w:r>
      <w:r>
        <w:rPr>
          <w:b/>
          <w:bCs/>
        </w:rPr>
        <w:t xml:space="preserve">sbc.gov.sa</w:t>
      </w:r>
      <w:r>
        <w:t xml:space="preserve"> </w:t>
      </w:r>
      <w:r>
        <w:t xml:space="preserve">website hosts all these documents, but some direct links require navigation through their document library. The search results show that some technical volumes are also mirrored on other sites (like gda.com.sa) for easier access. If you need a specific code volume, I recommend visiting the official SBC portal and browsing their document sections, or I can help you search for a specific technical topic (e.g.,</w:t>
      </w:r>
      <w:r>
        <w:t xml:space="preserve"> </w:t>
      </w:r>
      <w:r>
        <w:t xml:space="preserve">“</w:t>
      </w:r>
      <w:r>
        <w:t xml:space="preserve">concrete strength requirements</w:t>
      </w:r>
      <w:r>
        <w:t xml:space="preserve">”</w:t>
      </w:r>
      <w:r>
        <w:t xml:space="preserve"> </w:t>
      </w:r>
      <w:r>
        <w:t xml:space="preserve">or</w:t>
      </w:r>
      <w:r>
        <w:t xml:space="preserve"> </w:t>
      </w:r>
      <w:r>
        <w:t xml:space="preserve">“</w:t>
      </w:r>
      <w:r>
        <w:t xml:space="preserve">fire door ratings</w:t>
      </w:r>
      <w:r>
        <w:t xml:space="preserve">”</w:t>
      </w:r>
      <w:r>
        <w:t xml:space="preserve">).</w:t>
      </w:r>
    </w:p>
    <w:p>
      <w:r>
        <w:pict>
          <v:rect style="width:0;height:1.5pt" o:hralign="center" o:hrstd="t" o:hr="t"/>
        </w:pict>
      </w:r>
    </w:p>
    <w:p>
      <w:pPr>
        <w:pStyle w:val="FirstParagraph"/>
      </w:pPr>
      <w:r>
        <w:rPr>
          <w:b/>
          <w:bCs/>
        </w:rPr>
        <w:t xml:space="preserve">User:</w:t>
      </w:r>
    </w:p>
    <w:p>
      <w:pPr>
        <w:pStyle w:val="a0"/>
      </w:pPr>
      <w:r>
        <w:t xml:space="preserve">we need only this Structural Safety, Fire Safety, Electrical Installation, Plumbing</w:t>
      </w:r>
    </w:p>
    <w:p>
      <w:r>
        <w:pict>
          <v:rect style="width:0;height:1.5pt" o:hralign="center" o:hrstd="t" o:hr="t"/>
        </w:pict>
      </w:r>
    </w:p>
    <w:p>
      <w:pPr>
        <w:pStyle w:val="FirstParagraph"/>
      </w:pPr>
      <w:r>
        <w:rPr>
          <w:b/>
          <w:bCs/>
        </w:rPr>
        <w:t xml:space="preserve">Kimi:</w:t>
      </w:r>
    </w:p>
    <w:p>
      <w:pPr>
        <w:pStyle w:val="a0"/>
      </w:pPr>
      <w:r>
        <w:t xml:space="preserve">Here are the specific Saudi Building Code technical volumes for</w:t>
      </w:r>
      <w:r>
        <w:t xml:space="preserve"> </w:t>
      </w:r>
      <w:r>
        <w:rPr>
          <w:b/>
          <w:bCs/>
        </w:rPr>
        <w:t xml:space="preserve">Structural Safety, Fire Safety, Electrical Installation, and Plumbing</w:t>
      </w:r>
      <w:r>
        <w:t xml:space="preserve">:</w:t>
      </w:r>
    </w:p>
    <w:p>
      <w:r>
        <w:pict>
          <v:rect style="width:0;height:1.5pt" o:hralign="center" o:hrstd="t" o:hr="t"/>
        </w:pict>
      </w:r>
    </w:p>
    <w:bookmarkEnd w:id="43"/>
    <w:bookmarkStart w:id="44" w:name="structural-safety"/>
    <w:p>
      <w:pPr>
        <w:pStyle w:val="2"/>
      </w:pPr>
      <w:r>
        <w:t xml:space="preserve">1. Structural Safety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Title</w:t>
            </w:r>
          </w:p>
        </w:tc>
        <w:tc>
          <w:tcPr/>
          <w:p>
            <w:pPr>
              <w:pStyle w:val="Compact"/>
              <w:jc w:val="left"/>
            </w:pPr>
            <w:r>
              <w:t xml:space="preserve">Scope</w:t>
            </w:r>
          </w:p>
        </w:tc>
      </w:tr>
      <w:tr>
        <w:tc>
          <w:tcPr/>
          <w:p>
            <w:pPr>
              <w:pStyle w:val="Compact"/>
              <w:jc w:val="left"/>
            </w:pPr>
            <w:r>
              <w:rPr>
                <w:b/>
                <w:bCs/>
              </w:rPr>
              <w:t xml:space="preserve">SBC 301</w:t>
            </w:r>
          </w:p>
        </w:tc>
        <w:tc>
          <w:tcPr/>
          <w:p>
            <w:pPr>
              <w:pStyle w:val="Compact"/>
              <w:jc w:val="left"/>
            </w:pPr>
            <w:r>
              <w:t xml:space="preserve">Structural — Loading and Forces</w:t>
            </w:r>
          </w:p>
        </w:tc>
        <w:tc>
          <w:tcPr/>
          <w:p>
            <w:pPr>
              <w:pStyle w:val="Compact"/>
              <w:jc w:val="left"/>
            </w:pPr>
            <w:r>
              <w:t xml:space="preserve">Load calculations, wind, seismic, live/dead loads</w:t>
            </w:r>
          </w:p>
        </w:tc>
      </w:tr>
      <w:tr>
        <w:tc>
          <w:tcPr/>
          <w:p>
            <w:pPr>
              <w:pStyle w:val="Compact"/>
              <w:jc w:val="left"/>
            </w:pPr>
            <w:r>
              <w:rPr>
                <w:b/>
                <w:bCs/>
              </w:rPr>
              <w:t xml:space="preserve">SBC 302</w:t>
            </w:r>
          </w:p>
        </w:tc>
        <w:tc>
          <w:tcPr/>
          <w:p>
            <w:pPr>
              <w:pStyle w:val="Compact"/>
              <w:jc w:val="left"/>
            </w:pPr>
            <w:r>
              <w:t xml:space="preserve">Structural — Testing and Inspection</w:t>
            </w:r>
          </w:p>
        </w:tc>
        <w:tc>
          <w:tcPr/>
          <w:p>
            <w:pPr>
              <w:pStyle w:val="Compact"/>
              <w:jc w:val="left"/>
            </w:pPr>
            <w:r>
              <w:t xml:space="preserve">Quality control, material testing</w:t>
            </w:r>
          </w:p>
        </w:tc>
      </w:tr>
      <w:tr>
        <w:tc>
          <w:tcPr/>
          <w:p>
            <w:pPr>
              <w:pStyle w:val="Compact"/>
              <w:jc w:val="left"/>
            </w:pPr>
            <w:r>
              <w:rPr>
                <w:b/>
                <w:bCs/>
              </w:rPr>
              <w:t xml:space="preserve">SBC 303</w:t>
            </w:r>
          </w:p>
        </w:tc>
        <w:tc>
          <w:tcPr/>
          <w:p>
            <w:pPr>
              <w:pStyle w:val="Compact"/>
              <w:jc w:val="left"/>
            </w:pPr>
            <w:r>
              <w:t xml:space="preserve">Structural — Soil and Foundations</w:t>
            </w:r>
          </w:p>
        </w:tc>
        <w:tc>
          <w:tcPr/>
          <w:p>
            <w:pPr>
              <w:pStyle w:val="Compact"/>
              <w:jc w:val="left"/>
            </w:pPr>
            <w:r>
              <w:t xml:space="preserve">Foundation design, soil bearing capacity</w:t>
            </w:r>
          </w:p>
        </w:tc>
      </w:tr>
      <w:tr>
        <w:tc>
          <w:tcPr/>
          <w:p>
            <w:pPr>
              <w:pStyle w:val="Compact"/>
              <w:jc w:val="left"/>
            </w:pPr>
            <w:r>
              <w:rPr>
                <w:b/>
                <w:bCs/>
              </w:rPr>
              <w:t xml:space="preserve">SBC 304</w:t>
            </w:r>
          </w:p>
        </w:tc>
        <w:tc>
          <w:tcPr/>
          <w:p>
            <w:pPr>
              <w:pStyle w:val="Compact"/>
              <w:jc w:val="left"/>
            </w:pPr>
            <w:r>
              <w:t xml:space="preserve">Structural — Concrete Structures</w:t>
            </w:r>
          </w:p>
        </w:tc>
        <w:tc>
          <w:tcPr/>
          <w:p>
            <w:pPr>
              <w:pStyle w:val="Compact"/>
              <w:jc w:val="left"/>
            </w:pPr>
            <w:r>
              <w:t xml:space="preserve">Concrete mix design, reinforcement, durability</w:t>
            </w:r>
          </w:p>
        </w:tc>
      </w:tr>
      <w:tr>
        <w:tc>
          <w:tcPr/>
          <w:p>
            <w:pPr>
              <w:pStyle w:val="Compact"/>
              <w:jc w:val="left"/>
            </w:pPr>
            <w:r>
              <w:rPr>
                <w:b/>
                <w:bCs/>
              </w:rPr>
              <w:t xml:space="preserve">SBC 305</w:t>
            </w:r>
          </w:p>
        </w:tc>
        <w:tc>
          <w:tcPr/>
          <w:p>
            <w:pPr>
              <w:pStyle w:val="Compact"/>
              <w:jc w:val="left"/>
            </w:pPr>
            <w:r>
              <w:t xml:space="preserve">Structural — Masonry Structures</w:t>
            </w:r>
          </w:p>
        </w:tc>
        <w:tc>
          <w:tcPr/>
          <w:p>
            <w:pPr>
              <w:pStyle w:val="Compact"/>
              <w:jc w:val="left"/>
            </w:pPr>
            <w:r>
              <w:t xml:space="preserve">Masonry walls, mortar, reinforcement</w:t>
            </w:r>
          </w:p>
        </w:tc>
      </w:tr>
      <w:tr>
        <w:tc>
          <w:tcPr/>
          <w:p>
            <w:pPr>
              <w:pStyle w:val="Compact"/>
              <w:jc w:val="left"/>
            </w:pPr>
            <w:r>
              <w:rPr>
                <w:b/>
                <w:bCs/>
              </w:rPr>
              <w:t xml:space="preserve">SBC 306</w:t>
            </w:r>
          </w:p>
        </w:tc>
        <w:tc>
          <w:tcPr/>
          <w:p>
            <w:pPr>
              <w:pStyle w:val="Compact"/>
              <w:jc w:val="left"/>
            </w:pPr>
            <w:r>
              <w:t xml:space="preserve">Structural — Steel Structures</w:t>
            </w:r>
          </w:p>
        </w:tc>
        <w:tc>
          <w:tcPr/>
          <w:p>
            <w:pPr>
              <w:pStyle w:val="Compact"/>
              <w:jc w:val="left"/>
            </w:pPr>
            <w:r>
              <w:t xml:space="preserve">Steel connections, welding, corrosion protection</w:t>
            </w:r>
          </w:p>
        </w:tc>
      </w:tr>
    </w:tbl>
    <w:p>
      <w:pPr>
        <w:pStyle w:val="a0"/>
      </w:pPr>
      <w:r>
        <w:rPr>
          <w:b/>
          <w:bCs/>
        </w:rPr>
        <w:t xml:space="preserve">Direct PDF Link:</w:t>
      </w:r>
      <w:r>
        <w:t xml:space="preserve"> </w:t>
      </w:r>
      <w:r>
        <w:t xml:space="preserve">-</w:t>
      </w:r>
      <w:r>
        <w:t xml:space="preserve"> </w:t>
      </w:r>
      <w:hyperlink r:id="rId39">
        <w:r>
          <w:rPr>
            <w:rStyle w:val="af"/>
          </w:rPr>
          <w:t xml:space="preserve">SBC 301 - Loading and Forces</w:t>
        </w:r>
      </w:hyperlink>
      <w:r>
        <w:t xml:space="preserve"> </w:t>
      </w:r>
      <w:r>
        <w:t xml:space="preserve">-</w:t>
      </w:r>
      <w:r>
        <w:t xml:space="preserve"> </w:t>
      </w:r>
      <w:hyperlink r:id="rId40">
        <w:r>
          <w:rPr>
            <w:rStyle w:val="af"/>
          </w:rPr>
          <w:t xml:space="preserve">SBC 304 - Concrete Structures (Commentary)</w:t>
        </w:r>
      </w:hyperlink>
    </w:p>
    <w:p>
      <w:r>
        <w:pict>
          <v:rect style="width:0;height:1.5pt" o:hralign="center" o:hrstd="t" o:hr="t"/>
        </w:pict>
      </w:r>
    </w:p>
    <w:bookmarkEnd w:id="44"/>
    <w:bookmarkStart w:id="45" w:name="fire-safety"/>
    <w:p>
      <w:pPr>
        <w:pStyle w:val="2"/>
      </w:pPr>
      <w:r>
        <w:t xml:space="preserve">2. Fire Safety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Title</w:t>
            </w:r>
          </w:p>
        </w:tc>
        <w:tc>
          <w:tcPr/>
          <w:p>
            <w:pPr>
              <w:pStyle w:val="Compact"/>
              <w:jc w:val="left"/>
            </w:pPr>
            <w:r>
              <w:t xml:space="preserve">Scope</w:t>
            </w:r>
          </w:p>
        </w:tc>
      </w:tr>
      <w:tr>
        <w:tc>
          <w:tcPr/>
          <w:p>
            <w:pPr>
              <w:pStyle w:val="Compact"/>
              <w:jc w:val="left"/>
            </w:pPr>
            <w:r>
              <w:rPr>
                <w:b/>
                <w:bCs/>
              </w:rPr>
              <w:t xml:space="preserve">SBC 801</w:t>
            </w:r>
          </w:p>
        </w:tc>
        <w:tc>
          <w:tcPr/>
          <w:p>
            <w:pPr>
              <w:pStyle w:val="Compact"/>
              <w:jc w:val="left"/>
            </w:pPr>
            <w:r>
              <w:t xml:space="preserve">Fire Protection</w:t>
            </w:r>
          </w:p>
        </w:tc>
        <w:tc>
          <w:tcPr/>
          <w:p>
            <w:pPr>
              <w:pStyle w:val="Compact"/>
              <w:jc w:val="left"/>
            </w:pPr>
            <w:r>
              <w:t xml:space="preserve">Fire resistance ratings, suppression systems, egress, alarms, hazardous materials</w:t>
            </w:r>
          </w:p>
        </w:tc>
      </w:tr>
    </w:tbl>
    <w:p>
      <w:pPr>
        <w:pStyle w:val="a0"/>
      </w:pPr>
      <w:r>
        <w:rPr>
          <w:b/>
          <w:bCs/>
        </w:rPr>
        <w:t xml:space="preserve">Key Contents:</w:t>
      </w:r>
      <w:r>
        <w:t xml:space="preserve"> </w:t>
      </w:r>
      <w:r>
        <w:t xml:space="preserve">- Occupancy-based fire resistance requirements</w:t>
      </w:r>
      <w:r>
        <w:t xml:space="preserve"> </w:t>
      </w:r>
      <w:r>
        <w:t xml:space="preserve">- Automatic sprinkler system design</w:t>
      </w:r>
      <w:r>
        <w:t xml:space="preserve"> </w:t>
      </w:r>
      <w:r>
        <w:t xml:space="preserve">- Fire alarm and detection systems</w:t>
      </w:r>
      <w:r>
        <w:t xml:space="preserve"> </w:t>
      </w:r>
      <w:r>
        <w:t xml:space="preserve">- Means of egress (exit widths, distances, signage)</w:t>
      </w:r>
      <w:r>
        <w:t xml:space="preserve"> </w:t>
      </w:r>
      <w:r>
        <w:t xml:space="preserve">- Smoke control systems</w:t>
      </w:r>
    </w:p>
    <w:p>
      <w:r>
        <w:pict>
          <v:rect style="width:0;height:1.5pt" o:hralign="center" o:hrstd="t" o:hr="t"/>
        </w:pict>
      </w:r>
    </w:p>
    <w:bookmarkEnd w:id="45"/>
    <w:bookmarkStart w:id="46" w:name="electrical-installation"/>
    <w:p>
      <w:pPr>
        <w:pStyle w:val="2"/>
      </w:pPr>
      <w:r>
        <w:t xml:space="preserve">3. Electrical Installation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Title</w:t>
            </w:r>
          </w:p>
        </w:tc>
        <w:tc>
          <w:tcPr/>
          <w:p>
            <w:pPr>
              <w:pStyle w:val="Compact"/>
              <w:jc w:val="left"/>
            </w:pPr>
            <w:r>
              <w:t xml:space="preserve">Scope</w:t>
            </w:r>
          </w:p>
        </w:tc>
      </w:tr>
      <w:tr>
        <w:tc>
          <w:tcPr/>
          <w:p>
            <w:pPr>
              <w:pStyle w:val="Compact"/>
              <w:jc w:val="left"/>
            </w:pPr>
            <w:r>
              <w:rPr>
                <w:b/>
                <w:bCs/>
              </w:rPr>
              <w:t xml:space="preserve">SBC 401</w:t>
            </w:r>
          </w:p>
        </w:tc>
        <w:tc>
          <w:tcPr/>
          <w:p>
            <w:pPr>
              <w:pStyle w:val="Compact"/>
              <w:jc w:val="left"/>
            </w:pPr>
            <w:r>
              <w:t xml:space="preserve">Electrical Code</w:t>
            </w:r>
          </w:p>
        </w:tc>
        <w:tc>
          <w:tcPr/>
          <w:p>
            <w:pPr>
              <w:pStyle w:val="Compact"/>
              <w:jc w:val="left"/>
            </w:pPr>
            <w:r>
              <w:t xml:space="preserve">Wiring, panels, grounding, lighting, power distribution, safety</w:t>
            </w:r>
          </w:p>
        </w:tc>
      </w:tr>
    </w:tbl>
    <w:p>
      <w:pPr>
        <w:pStyle w:val="a0"/>
      </w:pPr>
      <w:r>
        <w:rPr>
          <w:b/>
          <w:bCs/>
        </w:rPr>
        <w:t xml:space="preserve">Key Contents:</w:t>
      </w:r>
      <w:r>
        <w:t xml:space="preserve"> </w:t>
      </w:r>
      <w:r>
        <w:t xml:space="preserve">- Circuit design and load calculations</w:t>
      </w:r>
      <w:r>
        <w:t xml:space="preserve"> </w:t>
      </w:r>
      <w:r>
        <w:t xml:space="preserve">- Grounding and bonding requirements</w:t>
      </w:r>
      <w:r>
        <w:t xml:space="preserve"> </w:t>
      </w:r>
      <w:r>
        <w:t xml:space="preserve">- Panel board specifications</w:t>
      </w:r>
      <w:r>
        <w:t xml:space="preserve"> </w:t>
      </w:r>
      <w:r>
        <w:t xml:space="preserve">- Conduit and wiring methods</w:t>
      </w:r>
      <w:r>
        <w:t xml:space="preserve"> </w:t>
      </w:r>
      <w:r>
        <w:t xml:space="preserve">- Emergency power systems</w:t>
      </w:r>
      <w:r>
        <w:t xml:space="preserve"> </w:t>
      </w:r>
      <w:r>
        <w:t xml:space="preserve">- Arc-fault and ground-fault protection</w:t>
      </w:r>
    </w:p>
    <w:p>
      <w:r>
        <w:pict>
          <v:rect style="width:0;height:1.5pt" o:hralign="center" o:hrstd="t" o:hr="t"/>
        </w:pict>
      </w:r>
    </w:p>
    <w:bookmarkEnd w:id="46"/>
    <w:bookmarkStart w:id="47" w:name="plumbing"/>
    <w:p>
      <w:pPr>
        <w:pStyle w:val="2"/>
      </w:pPr>
      <w:r>
        <w:t xml:space="preserve">4. Plumbing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Title</w:t>
            </w:r>
          </w:p>
        </w:tc>
        <w:tc>
          <w:tcPr/>
          <w:p>
            <w:pPr>
              <w:pStyle w:val="Compact"/>
              <w:jc w:val="left"/>
            </w:pPr>
            <w:r>
              <w:t xml:space="preserve">Scope</w:t>
            </w:r>
          </w:p>
        </w:tc>
      </w:tr>
      <w:tr>
        <w:tc>
          <w:tcPr/>
          <w:p>
            <w:pPr>
              <w:pStyle w:val="Compact"/>
              <w:jc w:val="left"/>
            </w:pPr>
            <w:r>
              <w:rPr>
                <w:b/>
                <w:bCs/>
              </w:rPr>
              <w:t xml:space="preserve">SBC 701</w:t>
            </w:r>
          </w:p>
        </w:tc>
        <w:tc>
          <w:tcPr/>
          <w:p>
            <w:pPr>
              <w:pStyle w:val="Compact"/>
              <w:jc w:val="left"/>
            </w:pPr>
            <w:r>
              <w:t xml:space="preserve">Sanitary Code</w:t>
            </w:r>
          </w:p>
        </w:tc>
        <w:tc>
          <w:tcPr/>
          <w:p>
            <w:pPr>
              <w:pStyle w:val="Compact"/>
              <w:jc w:val="left"/>
            </w:pPr>
            <w:r>
              <w:t xml:space="preserve">Water supply, drainage, waste, venting, fixtures</w:t>
            </w:r>
          </w:p>
        </w:tc>
      </w:tr>
      <w:tr>
        <w:tc>
          <w:tcPr/>
          <w:p>
            <w:pPr>
              <w:pStyle w:val="Compact"/>
              <w:jc w:val="left"/>
            </w:pPr>
            <w:r>
              <w:rPr>
                <w:b/>
                <w:bCs/>
              </w:rPr>
              <w:t xml:space="preserve">SBC 702</w:t>
            </w:r>
          </w:p>
        </w:tc>
        <w:tc>
          <w:tcPr/>
          <w:p>
            <w:pPr>
              <w:pStyle w:val="Compact"/>
              <w:jc w:val="left"/>
            </w:pPr>
            <w:r>
              <w:t xml:space="preserve">Sanitary Code (supplementary)</w:t>
            </w:r>
          </w:p>
        </w:tc>
        <w:tc>
          <w:tcPr/>
          <w:p>
            <w:pPr>
              <w:pStyle w:val="Compact"/>
              <w:jc w:val="left"/>
            </w:pPr>
            <w:r>
              <w:t xml:space="preserve">Additional plumbing requirements</w:t>
            </w:r>
          </w:p>
        </w:tc>
      </w:tr>
    </w:tbl>
    <w:p>
      <w:pPr>
        <w:pStyle w:val="a0"/>
      </w:pPr>
      <w:r>
        <w:rPr>
          <w:b/>
          <w:bCs/>
        </w:rPr>
        <w:t xml:space="preserve">Key Contents:</w:t>
      </w:r>
      <w:r>
        <w:t xml:space="preserve"> </w:t>
      </w:r>
      <w:r>
        <w:t xml:space="preserve">- Pipe sizing for water supply and drainage</w:t>
      </w:r>
      <w:r>
        <w:t xml:space="preserve"> </w:t>
      </w:r>
      <w:r>
        <w:t xml:space="preserve">- Fixture unit calculations</w:t>
      </w:r>
      <w:r>
        <w:t xml:space="preserve"> </w:t>
      </w:r>
      <w:r>
        <w:t xml:space="preserve">- Venting requirements</w:t>
      </w:r>
      <w:r>
        <w:t xml:space="preserve"> </w:t>
      </w:r>
      <w:r>
        <w:t xml:space="preserve">- Backflow prevention</w:t>
      </w:r>
      <w:r>
        <w:t xml:space="preserve"> </w:t>
      </w:r>
      <w:r>
        <w:t xml:space="preserve">- Hot water systems</w:t>
      </w:r>
      <w:r>
        <w:t xml:space="preserve"> </w:t>
      </w:r>
      <w:r>
        <w:t xml:space="preserve">- Storm drainage</w:t>
      </w:r>
    </w:p>
    <w:p>
      <w:r>
        <w:pict>
          <v:rect style="width:0;height:1.5pt" o:hralign="center" o:hrstd="t" o:hr="t"/>
        </w:pict>
      </w:r>
    </w:p>
    <w:bookmarkEnd w:id="47"/>
    <w:bookmarkStart w:id="48" w:name="official-source"/>
    <w:p>
      <w:pPr>
        <w:pStyle w:val="2"/>
      </w:pPr>
      <w:r>
        <w:t xml:space="preserve">Official Source</w:t>
      </w:r>
    </w:p>
    <w:p>
      <w:pPr>
        <w:pStyle w:val="FirstParagraph"/>
      </w:pPr>
      <w:r>
        <w:t xml:space="preserve">All documents are available at:</w:t>
      </w:r>
      <w:r>
        <w:t xml:space="preserve"> </w:t>
      </w:r>
      <w:hyperlink r:id="rId36">
        <w:r>
          <w:rPr>
            <w:rStyle w:val="af"/>
            <w:b/>
            <w:bCs/>
          </w:rPr>
          <w:t xml:space="preserve">www.sbc.gov.sa</w:t>
        </w:r>
      </w:hyperlink>
      <w:r>
        <w:t xml:space="preserve"> </w:t>
      </w:r>
      <w:r>
        <w:t xml:space="preserve">→ Documents → Technical Codes</w:t>
      </w:r>
    </w:p>
    <w:p>
      <w:pPr>
        <w:pStyle w:val="a0"/>
      </w:pPr>
      <w:r>
        <w:t xml:space="preserve">Or browse by specific code number in their document library.</w:t>
      </w:r>
    </w:p>
    <w:p>
      <w:r>
        <w:pict>
          <v:rect style="width:0;height:1.5pt" o:hralign="center" o:hrstd="t" o:hr="t"/>
        </w:pict>
      </w:r>
    </w:p>
    <w:p>
      <w:pPr>
        <w:pStyle w:val="FirstParagraph"/>
      </w:pPr>
      <w:r>
        <w:rPr>
          <w:b/>
          <w:bCs/>
        </w:rPr>
        <w:t xml:space="preserve">User:</w:t>
      </w:r>
    </w:p>
    <w:p>
      <w:pPr>
        <w:pStyle w:val="a0"/>
      </w:pPr>
      <w:r>
        <w:t xml:space="preserve">what is the latest year they change their SBC code its 2018 or 2024</w:t>
      </w:r>
    </w:p>
    <w:p>
      <w:r>
        <w:pict>
          <v:rect style="width:0;height:1.5pt" o:hralign="center" o:hrstd="t" o:hr="t"/>
        </w:pict>
      </w:r>
    </w:p>
    <w:p>
      <w:pPr>
        <w:pStyle w:val="FirstParagraph"/>
      </w:pPr>
      <w:r>
        <w:rPr>
          <w:b/>
          <w:bCs/>
        </w:rPr>
        <w:t xml:space="preserve">Kimi:</w:t>
      </w:r>
    </w:p>
    <w:p>
      <w:pPr>
        <w:pStyle w:val="a0"/>
      </w:pPr>
      <w:r>
        <w:t xml:space="preserve">Let me search for the latest updates to the Saudi Building Code to confirm whether the current version is from 2018 or 2024. The latest version is</w:t>
      </w:r>
      <w:r>
        <w:t xml:space="preserve"> </w:t>
      </w:r>
      <w:r>
        <w:rPr>
          <w:b/>
          <w:bCs/>
        </w:rPr>
        <w:t xml:space="preserve">SBC 2024</w:t>
      </w:r>
      <w:r>
        <w:t xml:space="preserve">, which officially came into effect on</w:t>
      </w:r>
      <w:r>
        <w:t xml:space="preserve"> </w:t>
      </w:r>
      <w:r>
        <w:rPr>
          <w:b/>
          <w:bCs/>
        </w:rPr>
        <w:t xml:space="preserve">1 July 2025</w:t>
      </w:r>
      <w:r>
        <w:t xml:space="preserve"> </w:t>
      </w:r>
      <w:r>
        <w:t xml:space="preserve">(with a reference period from 31 December 2024 to 30 June 2025 during which the 2018 edition remained mandatory). citeweb_search:2#3web_search:2#8</w:t>
      </w:r>
    </w:p>
    <w:p>
      <w:pPr>
        <w:pStyle w:val="a0"/>
      </w:pPr>
      <w:r>
        <w:t xml:space="preserve">Here’s the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Edition</w:t>
            </w:r>
          </w:p>
        </w:tc>
        <w:tc>
          <w:tcPr/>
          <w:p>
            <w:pPr>
              <w:pStyle w:val="Compact"/>
              <w:jc w:val="left"/>
            </w:pPr>
            <w:r>
              <w:t xml:space="preserve">Status</w:t>
            </w:r>
          </w:p>
        </w:tc>
        <w:tc>
          <w:tcPr/>
          <w:p>
            <w:pPr>
              <w:pStyle w:val="Compact"/>
              <w:jc w:val="left"/>
            </w:pPr>
            <w:r>
              <w:t xml:space="preserve">Effective Date</w:t>
            </w:r>
          </w:p>
        </w:tc>
      </w:tr>
      <w:tr>
        <w:tc>
          <w:tcPr/>
          <w:p>
            <w:pPr>
              <w:pStyle w:val="Compact"/>
              <w:jc w:val="left"/>
            </w:pPr>
            <w:r>
              <w:rPr>
                <w:b/>
                <w:bCs/>
              </w:rPr>
              <w:t xml:space="preserve">SBC 2018</w:t>
            </w:r>
          </w:p>
        </w:tc>
        <w:tc>
          <w:tcPr/>
          <w:p>
            <w:pPr>
              <w:pStyle w:val="Compact"/>
              <w:jc w:val="left"/>
            </w:pPr>
            <w:r>
              <w:t xml:space="preserve">Previous edition, now superseded</w:t>
            </w:r>
          </w:p>
        </w:tc>
        <w:tc>
          <w:tcPr/>
          <w:p>
            <w:pPr>
              <w:pStyle w:val="Compact"/>
              <w:jc w:val="left"/>
            </w:pPr>
            <w:r>
              <w:t xml:space="preserve">Until 30 June 2025</w:t>
            </w:r>
          </w:p>
        </w:tc>
      </w:tr>
      <w:tr>
        <w:tc>
          <w:tcPr/>
          <w:p>
            <w:pPr>
              <w:pStyle w:val="Compact"/>
              <w:jc w:val="left"/>
            </w:pPr>
            <w:r>
              <w:rPr>
                <w:b/>
                <w:bCs/>
              </w:rPr>
              <w:t xml:space="preserve">SBC 2024</w:t>
            </w:r>
          </w:p>
        </w:tc>
        <w:tc>
          <w:tcPr/>
          <w:p>
            <w:pPr>
              <w:pStyle w:val="Compact"/>
              <w:jc w:val="left"/>
            </w:pPr>
            <w:r>
              <w:rPr>
                <w:b/>
                <w:bCs/>
              </w:rPr>
              <w:t xml:space="preserve">Currently enforced</w:t>
            </w:r>
          </w:p>
        </w:tc>
        <w:tc>
          <w:tcPr/>
          <w:p>
            <w:pPr>
              <w:pStyle w:val="Compact"/>
              <w:jc w:val="left"/>
            </w:pPr>
            <w:r>
              <w:rPr>
                <w:b/>
                <w:bCs/>
              </w:rPr>
              <w:t xml:space="preserve">1 July 2025 onwards</w:t>
            </w:r>
          </w:p>
        </w:tc>
      </w:tr>
    </w:tbl>
    <w:p>
      <w:pPr>
        <w:pStyle w:val="a0"/>
      </w:pPr>
      <w:r>
        <w:t xml:space="preserve">The SBC 2024 was released by Ministerial Decision No. 181 dated 31 December 2024, and represents the first major revision since the 2018 edition. citeweb_search:2#8</w:t>
      </w:r>
    </w:p>
    <w:p>
      <w:r>
        <w:pict>
          <v:rect style="width:0;height:1.5pt" o:hralign="center" o:hrstd="t" o:hr="t"/>
        </w:pict>
      </w:r>
    </w:p>
    <w:bookmarkEnd w:id="48"/>
    <w:bookmarkStart w:id="52" w:name="X6bc0cdf1bb13fc036924d89d56b2a4e6e10d3ab"/>
    <w:p>
      <w:pPr>
        <w:pStyle w:val="2"/>
      </w:pPr>
      <w:r>
        <w:t xml:space="preserve">Key Changes in SBC 2024 (Relevant to Your Needs)</w:t>
      </w:r>
    </w:p>
    <w:bookmarkStart w:id="49" w:name="structural-safety-sbc-301-304-etc."/>
    <w:p>
      <w:pPr>
        <w:pStyle w:val="3"/>
      </w:pPr>
      <w:r>
        <w:t xml:space="preserve">Structural Safety (SBC 301, 304, etc.)</w:t>
      </w:r>
    </w:p>
    <w:p>
      <w:pPr>
        <w:pStyle w:val="Compact"/>
        <w:numPr>
          <w:ilvl w:val="0"/>
          <w:numId w:val="1007"/>
        </w:numPr>
      </w:pPr>
      <w:r>
        <w:t xml:space="preserve">Updated seismic load calculations with latest hazard data for the Kingdom</w:t>
      </w:r>
    </w:p>
    <w:p>
      <w:pPr>
        <w:pStyle w:val="Compact"/>
        <w:numPr>
          <w:ilvl w:val="0"/>
          <w:numId w:val="1007"/>
        </w:numPr>
      </w:pPr>
      <w:r>
        <w:t xml:space="preserve">Enhanced foundation design requirements for diverse soil conditions</w:t>
      </w:r>
    </w:p>
    <w:p>
      <w:pPr>
        <w:pStyle w:val="Compact"/>
        <w:numPr>
          <w:ilvl w:val="0"/>
          <w:numId w:val="1007"/>
        </w:numPr>
      </w:pPr>
      <w:r>
        <w:t xml:space="preserve">Stricter material quality standards for concrete and steel</w:t>
      </w:r>
    </w:p>
    <w:p>
      <w:pPr>
        <w:pStyle w:val="Compact"/>
        <w:numPr>
          <w:ilvl w:val="0"/>
          <w:numId w:val="1007"/>
        </w:numPr>
      </w:pPr>
      <w:r>
        <w:t xml:space="preserve">New risk category-based design for environmental loads citeweb_search:2#4web_search:2#7</w:t>
      </w:r>
    </w:p>
    <w:bookmarkEnd w:id="49"/>
    <w:bookmarkStart w:id="50" w:name="fire-safety-sbc-801"/>
    <w:p>
      <w:pPr>
        <w:pStyle w:val="3"/>
      </w:pPr>
      <w:r>
        <w:t xml:space="preserve">Fire Safety (SBC 801)</w:t>
      </w:r>
    </w:p>
    <w:p>
      <w:pPr>
        <w:pStyle w:val="Compact"/>
        <w:numPr>
          <w:ilvl w:val="0"/>
          <w:numId w:val="1008"/>
        </w:numPr>
      </w:pPr>
      <w:r>
        <w:t xml:space="preserve">Aerial fire truck access no longer required for Type IA/IB/IIA construction if fully sprinklered and roof access provided via enclosed stairway with Class I standpipe (Civil Defence approval required)</w:t>
      </w:r>
    </w:p>
    <w:p>
      <w:pPr>
        <w:pStyle w:val="Compact"/>
        <w:numPr>
          <w:ilvl w:val="0"/>
          <w:numId w:val="1008"/>
        </w:numPr>
      </w:pPr>
      <w:r>
        <w:t xml:space="preserve">Open parking exceeding 4,460 m² now mandated to have automatic sprinklers</w:t>
      </w:r>
    </w:p>
    <w:p>
      <w:pPr>
        <w:pStyle w:val="Compact"/>
        <w:numPr>
          <w:ilvl w:val="0"/>
          <w:numId w:val="1008"/>
        </w:numPr>
      </w:pPr>
      <w:r>
        <w:t xml:space="preserve">Fire Command Center area now based on overall building area (not fixed 19 m²)</w:t>
      </w:r>
    </w:p>
    <w:p>
      <w:pPr>
        <w:pStyle w:val="Compact"/>
        <w:numPr>
          <w:ilvl w:val="0"/>
          <w:numId w:val="1008"/>
        </w:numPr>
      </w:pPr>
      <w:r>
        <w:t xml:space="preserve">Open stairways in atriums may now be considered valid egress routes</w:t>
      </w:r>
    </w:p>
    <w:p>
      <w:pPr>
        <w:pStyle w:val="Compact"/>
        <w:numPr>
          <w:ilvl w:val="0"/>
          <w:numId w:val="1008"/>
        </w:numPr>
      </w:pPr>
      <w:r>
        <w:t xml:space="preserve">Business occupancy load factor revised from 9 m²/person to</w:t>
      </w:r>
      <w:r>
        <w:t xml:space="preserve"> </w:t>
      </w:r>
      <w:r>
        <w:rPr>
          <w:b/>
          <w:bCs/>
        </w:rPr>
        <w:t xml:space="preserve">14 m²/person</w:t>
      </w:r>
      <w:r>
        <w:t xml:space="preserve"> </w:t>
      </w:r>
      <w:r>
        <w:t xml:space="preserve">citeweb_search:2#3</w:t>
      </w:r>
    </w:p>
    <w:bookmarkEnd w:id="50"/>
    <w:bookmarkStart w:id="51" w:name="electrical-plumbing"/>
    <w:p>
      <w:pPr>
        <w:pStyle w:val="3"/>
      </w:pPr>
      <w:r>
        <w:t xml:space="preserve">Electrical &amp; Plumbing</w:t>
      </w:r>
    </w:p>
    <w:p>
      <w:pPr>
        <w:pStyle w:val="Compact"/>
        <w:numPr>
          <w:ilvl w:val="0"/>
          <w:numId w:val="1009"/>
        </w:numPr>
      </w:pPr>
      <w:r>
        <w:t xml:space="preserve">Updated MEP standards focusing on efficiency, safety, and reliability</w:t>
      </w:r>
    </w:p>
    <w:p>
      <w:pPr>
        <w:pStyle w:val="Compact"/>
        <w:numPr>
          <w:ilvl w:val="0"/>
          <w:numId w:val="1009"/>
        </w:numPr>
      </w:pPr>
      <w:r>
        <w:t xml:space="preserve">Enhanced ventilation requirements for indoor air quality</w:t>
      </w:r>
    </w:p>
    <w:p>
      <w:pPr>
        <w:pStyle w:val="Compact"/>
        <w:numPr>
          <w:ilvl w:val="0"/>
          <w:numId w:val="1009"/>
        </w:numPr>
      </w:pPr>
      <w:r>
        <w:t xml:space="preserve">New provisions for smart building technology integration citeweb_search:2#0</w:t>
      </w:r>
    </w:p>
    <w:p>
      <w:r>
        <w:pict>
          <v:rect style="width:0;height:1.5pt" o:hralign="center" o:hrstd="t" o:hr="t"/>
        </w:pict>
      </w:r>
    </w:p>
    <w:bookmarkEnd w:id="51"/>
    <w:bookmarkEnd w:id="52"/>
    <w:bookmarkStart w:id="54" w:name="official-source-for-sbc-2024-documents"/>
    <w:p>
      <w:pPr>
        <w:pStyle w:val="2"/>
      </w:pPr>
      <w:r>
        <w:t xml:space="preserve">Official Source for SBC 2024 Documents</w:t>
      </w:r>
    </w:p>
    <w:p>
      <w:pPr>
        <w:pStyle w:val="FirstParagraph"/>
      </w:pPr>
      <w:r>
        <w:t xml:space="preserve">All 2024 edition technical codes are available at:</w:t>
      </w:r>
      <w:r>
        <w:t xml:space="preserve"> </w:t>
      </w:r>
      <w:hyperlink r:id="rId53">
        <w:r>
          <w:rPr>
            <w:rStyle w:val="af"/>
            <w:b/>
            <w:bCs/>
          </w:rPr>
          <w:t xml:space="preserve">sbc.gov.sa/En/BC/Pages/BuildingCode/BC.aspx?year=2024</w:t>
        </w:r>
      </w:hyperlink>
      <w:r>
        <w:t xml:space="preserve"> </w:t>
      </w:r>
      <w:r>
        <w:t xml:space="preserve">citeweb_search:2#9</w:t>
      </w:r>
    </w:p>
    <w:p>
      <w:pPr>
        <w:pStyle w:val="a0"/>
      </w:pPr>
      <w:r>
        <w:t xml:space="preserve">This includes the specific codes you need:</w:t>
      </w:r>
      <w:r>
        <w:t xml:space="preserve"> </w:t>
      </w:r>
      <w:r>
        <w:t xml:space="preserve">-</w:t>
      </w:r>
      <w:r>
        <w:t xml:space="preserve"> </w:t>
      </w:r>
      <w:r>
        <w:rPr>
          <w:b/>
          <w:bCs/>
        </w:rPr>
        <w:t xml:space="preserve">SBC 301</w:t>
      </w:r>
      <w:r>
        <w:t xml:space="preserve"> </w:t>
      </w:r>
      <w:r>
        <w:t xml:space="preserve">— Structural Loading</w:t>
      </w:r>
      <w:r>
        <w:t xml:space="preserve"> </w:t>
      </w:r>
      <w:r>
        <w:t xml:space="preserve">-</w:t>
      </w:r>
      <w:r>
        <w:t xml:space="preserve"> </w:t>
      </w:r>
      <w:r>
        <w:rPr>
          <w:b/>
          <w:bCs/>
        </w:rPr>
        <w:t xml:space="preserve">SBC 304</w:t>
      </w:r>
      <w:r>
        <w:t xml:space="preserve"> </w:t>
      </w:r>
      <w:r>
        <w:t xml:space="preserve">— Concrete Structures</w:t>
      </w:r>
      <w:r>
        <w:t xml:space="preserve"> </w:t>
      </w:r>
      <w:r>
        <w:t xml:space="preserve">-</w:t>
      </w:r>
      <w:r>
        <w:t xml:space="preserve"> </w:t>
      </w:r>
      <w:r>
        <w:rPr>
          <w:b/>
          <w:bCs/>
        </w:rPr>
        <w:t xml:space="preserve">SBC 801</w:t>
      </w:r>
      <w:r>
        <w:t xml:space="preserve"> </w:t>
      </w:r>
      <w:r>
        <w:t xml:space="preserve">— Fire Protection</w:t>
      </w:r>
      <w:r>
        <w:t xml:space="preserve"> </w:t>
      </w:r>
      <w:r>
        <w:t xml:space="preserve">-</w:t>
      </w:r>
      <w:r>
        <w:t xml:space="preserve"> </w:t>
      </w:r>
      <w:r>
        <w:rPr>
          <w:b/>
          <w:bCs/>
        </w:rPr>
        <w:t xml:space="preserve">SBC 401</w:t>
      </w:r>
      <w:r>
        <w:t xml:space="preserve"> </w:t>
      </w:r>
      <w:r>
        <w:t xml:space="preserve">— Electrical</w:t>
      </w:r>
      <w:r>
        <w:t xml:space="preserve"> </w:t>
      </w:r>
      <w:r>
        <w:t xml:space="preserve">-</w:t>
      </w:r>
      <w:r>
        <w:t xml:space="preserve"> </w:t>
      </w:r>
      <w:r>
        <w:rPr>
          <w:b/>
          <w:bCs/>
        </w:rPr>
        <w:t xml:space="preserve">SBC 701</w:t>
      </w:r>
      <w:r>
        <w:t xml:space="preserve"> </w:t>
      </w:r>
      <w:r>
        <w:t xml:space="preserve">— Plumbing</w:t>
      </w:r>
      <w:r>
        <w:t xml:space="preserve"> </w:t>
      </w:r>
      <w:r>
        <w:t xml:space="preserve">-</w:t>
      </w:r>
      <w:r>
        <w:t xml:space="preserve"> </w:t>
      </w:r>
      <w:r>
        <w:rPr>
          <w:b/>
          <w:bCs/>
        </w:rPr>
        <w:t xml:space="preserve">SBC 702</w:t>
      </w:r>
      <w:r>
        <w:t xml:space="preserve"> </w:t>
      </w:r>
      <w:r>
        <w:t xml:space="preserve">— Private Sewage</w:t>
      </w:r>
    </w:p>
    <w:p>
      <w:r>
        <w:pict>
          <v:rect style="width:0;height:1.5pt" o:hralign="center" o:hrstd="t" o:hr="t"/>
        </w:pict>
      </w:r>
    </w:p>
    <w:bookmarkEnd w:id="54"/>
    <w:bookmarkEnd w:id="5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9" Target="https://gda.com.sa/pdf/SBC301.pdf" TargetMode="External" /><Relationship Type="http://schemas.openxmlformats.org/officeDocument/2006/relationships/hyperlink" Id="rId40" Target="https://gda.com.sa/pdf/SBC304c.pdf" TargetMode="External" /><Relationship Type="http://schemas.openxmlformats.org/officeDocument/2006/relationships/hyperlink" Id="rId36" Target="https://sbc.gov.sa" TargetMode="External" /><Relationship Type="http://schemas.openxmlformats.org/officeDocument/2006/relationships/hyperlink" Id="rId53" Target="https://sbc.gov.sa/En/BC/Pages/BuildingCode/BC.aspx?year=2024" TargetMode="External" /><Relationship Type="http://schemas.openxmlformats.org/officeDocument/2006/relationships/hyperlink" Id="rId38" Target="https://sbc.gov.sa/ar/BC/Documents/tableofcontent2024/SBC%20201/SBC201_CR_241224-FA.pdf" TargetMode="External" /></Relationships>
</file>

<file path=word/_rels/footnotes.xml.rels><?xml version="1.0" encoding="UTF-8"?><Relationships xmlns="http://schemas.openxmlformats.org/package/2006/relationships"><Relationship Type="http://schemas.openxmlformats.org/officeDocument/2006/relationships/hyperlink" Id="rId39" Target="https://gda.com.sa/pdf/SBC301.pdf" TargetMode="External" /><Relationship Type="http://schemas.openxmlformats.org/officeDocument/2006/relationships/hyperlink" Id="rId40" Target="https://gda.com.sa/pdf/SBC304c.pdf" TargetMode="External" /><Relationship Type="http://schemas.openxmlformats.org/officeDocument/2006/relationships/hyperlink" Id="rId36" Target="https://sbc.gov.sa" TargetMode="External" /><Relationship Type="http://schemas.openxmlformats.org/officeDocument/2006/relationships/hyperlink" Id="rId53" Target="https://sbc.gov.sa/En/BC/Pages/BuildingCode/BC.aspx?year=2024" TargetMode="External" /><Relationship Type="http://schemas.openxmlformats.org/officeDocument/2006/relationships/hyperlink" Id="rId38" Target="https://sbc.gov.sa/ar/BC/Documents/tableofcontent2024/SBC%20201/SBC201_CR_241224-FA.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2026-05-15T05:05:48Z</dcterms:created>
  <dcterms:modified xsi:type="dcterms:W3CDTF">2026-05-15T05:05:48Z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ce6pdf8r3cp9kdck2g-19e27cf1-b682-850e-8000-0914afe55803-20260515050548","ReservedCode1":"","ContentPropagator":"001191110108MACG2KBH8F20000","PropagateID":"d1ce6pdf8r3cp9kdck2g-19e27cf1-b682-850e-8000-0914afe55803-20260515050548","ReservedCode2":""}</vt:lpwstr>
  </property>
</Properties>
</file>