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8B31E4" w14:textId="3EE4067C" w:rsidR="00BF3671" w:rsidRPr="00160B3F" w:rsidRDefault="00BF3671" w:rsidP="00BF3671">
      <w:pPr>
        <w:rPr>
          <w:rFonts w:ascii="Calibri" w:hAnsi="Calibri" w:cs="Calibri" w:hint="eastAsia"/>
          <w:kern w:val="0"/>
        </w:rPr>
      </w:pPr>
      <w:r w:rsidRPr="0075113C">
        <w:rPr>
          <w:rFonts w:ascii="Calibri" w:hAnsi="Calibri" w:cs="Calibri"/>
          <w:b/>
          <w:bCs/>
          <w:kern w:val="0"/>
        </w:rPr>
        <w:t>Chosen Clinical AI Tool: Aidoc</w:t>
      </w:r>
      <w:r w:rsidR="00E11CDE" w:rsidRPr="0075113C">
        <w:rPr>
          <w:rFonts w:ascii="Calibri" w:hAnsi="Calibri" w:cs="Calibri"/>
          <w:b/>
          <w:bCs/>
          <w:kern w:val="0"/>
        </w:rPr>
        <w:t xml:space="preserve"> (stroke package</w:t>
      </w:r>
      <w:r w:rsidR="008133F5" w:rsidRPr="0075113C">
        <w:rPr>
          <w:rFonts w:ascii="Calibri" w:hAnsi="Calibri" w:cs="Calibri"/>
          <w:b/>
          <w:bCs/>
          <w:kern w:val="0"/>
        </w:rPr>
        <w:t xml:space="preserve"> / BriefCase</w:t>
      </w:r>
      <w:r w:rsidR="00E11CDE" w:rsidRPr="0075113C">
        <w:rPr>
          <w:rFonts w:ascii="Calibri" w:hAnsi="Calibri" w:cs="Calibri"/>
          <w:b/>
          <w:bCs/>
          <w:kern w:val="0"/>
        </w:rPr>
        <w:t>)</w:t>
      </w:r>
      <w:r w:rsidR="00160B3F">
        <w:rPr>
          <w:rFonts w:ascii="Calibri" w:hAnsi="Calibri" w:cs="Calibri"/>
          <w:b/>
          <w:bCs/>
          <w:kern w:val="0"/>
        </w:rPr>
        <w:br/>
      </w:r>
      <w:r w:rsidR="00160B3F" w:rsidRPr="00160B3F">
        <w:rPr>
          <w:rFonts w:ascii="Calibri" w:hAnsi="Calibri" w:cs="Calibri" w:hint="eastAsia"/>
          <w:kern w:val="0"/>
        </w:rPr>
        <w:t>Zhenyu Zhang (z5037788)</w:t>
      </w:r>
    </w:p>
    <w:p w14:paraId="2C55354C" w14:textId="45486CB5" w:rsidR="00BF3671" w:rsidRPr="0075113C" w:rsidRDefault="00BF3671" w:rsidP="00BF3671">
      <w:pPr>
        <w:rPr>
          <w:rFonts w:ascii="Calibri" w:hAnsi="Calibri" w:cs="Calibri"/>
          <w:b/>
          <w:bCs/>
          <w:kern w:val="0"/>
        </w:rPr>
      </w:pPr>
      <w:r w:rsidRPr="0075113C">
        <w:rPr>
          <w:rFonts w:ascii="Calibri" w:hAnsi="Calibri" w:cs="Calibri"/>
          <w:b/>
          <w:bCs/>
          <w:kern w:val="0"/>
        </w:rPr>
        <w:t>Brief Description:</w:t>
      </w:r>
    </w:p>
    <w:p w14:paraId="5BEA7229" w14:textId="1559B96D" w:rsidR="00BF3671" w:rsidRPr="0075113C" w:rsidRDefault="00BF3671" w:rsidP="00BF3671">
      <w:pPr>
        <w:rPr>
          <w:rFonts w:ascii="Calibri" w:hAnsi="Calibri" w:cs="Calibri"/>
          <w:kern w:val="0"/>
        </w:rPr>
      </w:pPr>
      <w:r w:rsidRPr="0075113C">
        <w:rPr>
          <w:rFonts w:ascii="Calibri" w:hAnsi="Calibri" w:cs="Calibri"/>
          <w:kern w:val="0"/>
        </w:rPr>
        <w:t xml:space="preserve">Aidoc's CT </w:t>
      </w:r>
      <w:r w:rsidR="002E527A" w:rsidRPr="0075113C">
        <w:rPr>
          <w:rFonts w:ascii="Calibri" w:hAnsi="Calibri" w:cs="Calibri"/>
          <w:kern w:val="0"/>
        </w:rPr>
        <w:t xml:space="preserve">stroke package </w:t>
      </w:r>
      <w:r w:rsidRPr="0075113C">
        <w:rPr>
          <w:rFonts w:ascii="Calibri" w:hAnsi="Calibri" w:cs="Calibri"/>
          <w:kern w:val="0"/>
        </w:rPr>
        <w:t>is an AI-powered diagnostic tool designed to detect and prioritize cases of acute intracranial hemorrhage and vessel occlusion (LVO</w:t>
      </w:r>
      <w:r w:rsidR="002E527A" w:rsidRPr="0075113C">
        <w:rPr>
          <w:rFonts w:ascii="Calibri" w:hAnsi="Calibri" w:cs="Calibri"/>
          <w:kern w:val="0"/>
        </w:rPr>
        <w:t xml:space="preserve"> and MEVO</w:t>
      </w:r>
      <w:r w:rsidRPr="0075113C">
        <w:rPr>
          <w:rFonts w:ascii="Calibri" w:hAnsi="Calibri" w:cs="Calibri"/>
          <w:kern w:val="0"/>
        </w:rPr>
        <w:t>) in CT scans. Aidoc's software integrates seamlessly with existing hospital imaging systems, providing real-time alerts to radiologists and medical teams. This facilitates prompt diagnosis and treatment, which is critical in acute stroke care.</w:t>
      </w:r>
      <w:r w:rsidR="00D91A55" w:rsidRPr="0075113C">
        <w:rPr>
          <w:rFonts w:ascii="Calibri" w:hAnsi="Calibri" w:cs="Calibri"/>
          <w:kern w:val="0"/>
        </w:rPr>
        <w:t xml:space="preserve"> The company reports having 17 FDA-cleared algorithms in radiology across various pathologies, indicating a broad and robust application of their AI technology.</w:t>
      </w:r>
    </w:p>
    <w:p w14:paraId="4C2A68A9" w14:textId="77777777" w:rsidR="00BF3671" w:rsidRPr="0075113C" w:rsidRDefault="00BF3671" w:rsidP="00BF3671">
      <w:pPr>
        <w:rPr>
          <w:rFonts w:ascii="Calibri" w:hAnsi="Calibri" w:cs="Calibri"/>
          <w:kern w:val="0"/>
        </w:rPr>
      </w:pPr>
    </w:p>
    <w:p w14:paraId="11FDE61A" w14:textId="5815926A" w:rsidR="00BF3671" w:rsidRPr="0075113C" w:rsidRDefault="00BF3671" w:rsidP="00BF3671">
      <w:pPr>
        <w:rPr>
          <w:rFonts w:ascii="Calibri" w:hAnsi="Calibri" w:cs="Calibri"/>
          <w:b/>
          <w:bCs/>
          <w:kern w:val="0"/>
        </w:rPr>
      </w:pPr>
      <w:r w:rsidRPr="0075113C">
        <w:rPr>
          <w:rFonts w:ascii="Calibri" w:hAnsi="Calibri" w:cs="Calibri"/>
          <w:b/>
          <w:bCs/>
          <w:kern w:val="0"/>
        </w:rPr>
        <w:t>Use and Impact:</w:t>
      </w:r>
    </w:p>
    <w:p w14:paraId="54712A97" w14:textId="77777777" w:rsidR="00BF3671" w:rsidRPr="0075113C" w:rsidRDefault="00BF3671" w:rsidP="00BF3671">
      <w:pPr>
        <w:rPr>
          <w:rFonts w:ascii="Calibri" w:hAnsi="Calibri" w:cs="Calibri"/>
          <w:kern w:val="0"/>
        </w:rPr>
      </w:pPr>
      <w:r w:rsidRPr="0075113C">
        <w:rPr>
          <w:rFonts w:ascii="Calibri" w:hAnsi="Calibri" w:cs="Calibri"/>
          <w:kern w:val="0"/>
        </w:rPr>
        <w:t>Aidoc’s CT Stroke is primarily used in emergency departments and radiology units to enhance the workflow of stroke diagnosis. The tool's real-time analysis and alert system allow for the rapid identification of critical cases, ensuring that patients receive timely intervention. This not only improves patient outcomes by reducing the time to treatment but also optimizes the use of healthcare resources by streamlining the diagnostic process.</w:t>
      </w:r>
    </w:p>
    <w:p w14:paraId="77D80BFC" w14:textId="14CEDFE5" w:rsidR="0003146B" w:rsidRPr="0003146B" w:rsidRDefault="0003146B" w:rsidP="0003146B">
      <w:pPr>
        <w:pStyle w:val="ListParagraph"/>
        <w:numPr>
          <w:ilvl w:val="0"/>
          <w:numId w:val="4"/>
        </w:numPr>
        <w:rPr>
          <w:rFonts w:ascii="Calibri" w:hAnsi="Calibri" w:cs="Calibri"/>
          <w:kern w:val="0"/>
        </w:rPr>
      </w:pPr>
      <w:r w:rsidRPr="0003146B">
        <w:rPr>
          <w:rFonts w:ascii="Calibri" w:hAnsi="Calibri" w:cs="Calibri"/>
          <w:kern w:val="0"/>
        </w:rPr>
        <w:t>Improved Detection Rates: Aidoc’s AI significantly increased the detection of ICH by 12.2% in emergency settings, particularly enhancing off-hour diagnostics where discrepancies are more common.</w:t>
      </w:r>
    </w:p>
    <w:p w14:paraId="3650C213" w14:textId="6619307D" w:rsidR="0003146B" w:rsidRPr="0003146B" w:rsidRDefault="0003146B" w:rsidP="0003146B">
      <w:pPr>
        <w:pStyle w:val="ListParagraph"/>
        <w:numPr>
          <w:ilvl w:val="0"/>
          <w:numId w:val="4"/>
        </w:numPr>
        <w:rPr>
          <w:rFonts w:ascii="Calibri" w:hAnsi="Calibri" w:cs="Calibri"/>
          <w:kern w:val="0"/>
        </w:rPr>
      </w:pPr>
      <w:r w:rsidRPr="0003146B">
        <w:rPr>
          <w:rFonts w:ascii="Calibri" w:hAnsi="Calibri" w:cs="Calibri"/>
          <w:kern w:val="0"/>
        </w:rPr>
        <w:t>Enhanced Triage and Prioritization: The AI algorithm facilitated faster triage and prioritization, reducing radiology turnaround times and expediting patient care, crucial for conditions requiring timely interventions.</w:t>
      </w:r>
    </w:p>
    <w:p w14:paraId="147BD712" w14:textId="25DD85D8" w:rsidR="00BF3671" w:rsidRPr="0003146B" w:rsidRDefault="0003146B" w:rsidP="0003146B">
      <w:pPr>
        <w:pStyle w:val="ListParagraph"/>
        <w:numPr>
          <w:ilvl w:val="0"/>
          <w:numId w:val="3"/>
        </w:numPr>
        <w:rPr>
          <w:rFonts w:ascii="Calibri" w:hAnsi="Calibri" w:cs="Calibri"/>
          <w:kern w:val="0"/>
        </w:rPr>
      </w:pPr>
      <w:r w:rsidRPr="0003146B">
        <w:rPr>
          <w:rFonts w:ascii="Calibri" w:hAnsi="Calibri" w:cs="Calibri"/>
          <w:kern w:val="0"/>
        </w:rPr>
        <w:t>Clinical Outcome Improvement: Implementing Aidoc’s AI in emergency departments led to a significant reduction in 30- and 120-day all-cause mortality and morbidity for ICH patients, demonstrating its clinical value in improving patient outcomes.</w:t>
      </w:r>
    </w:p>
    <w:p w14:paraId="6DF69CD0" w14:textId="3FC9AC5C" w:rsidR="00BF3671" w:rsidRPr="0075113C" w:rsidRDefault="00BF3671" w:rsidP="00BF3671">
      <w:pPr>
        <w:rPr>
          <w:rFonts w:ascii="Calibri" w:hAnsi="Calibri" w:cs="Calibri"/>
          <w:b/>
          <w:bCs/>
          <w:kern w:val="0"/>
        </w:rPr>
      </w:pPr>
      <w:r w:rsidRPr="0075113C">
        <w:rPr>
          <w:rFonts w:ascii="Calibri" w:hAnsi="Calibri" w:cs="Calibri"/>
          <w:b/>
          <w:bCs/>
          <w:kern w:val="0"/>
        </w:rPr>
        <w:t>Performance:</w:t>
      </w:r>
    </w:p>
    <w:p w14:paraId="28EAB826" w14:textId="64E1D00D" w:rsidR="00BF3671" w:rsidRPr="0075113C" w:rsidRDefault="00BF3671" w:rsidP="00BF3671">
      <w:pPr>
        <w:rPr>
          <w:rFonts w:ascii="Calibri" w:hAnsi="Calibri" w:cs="Calibri"/>
          <w:kern w:val="0"/>
        </w:rPr>
      </w:pPr>
      <w:r w:rsidRPr="0075113C">
        <w:rPr>
          <w:rFonts w:ascii="Calibri" w:hAnsi="Calibri" w:cs="Calibri"/>
          <w:kern w:val="0"/>
        </w:rPr>
        <w:t>Clinical studies have demonstrated that Aidoc’s CT Stroke tool has high sensitivity and specificity in detecting acute intracranial hemorrhage and LVO. These performance metrics underscore the tool’s reliability in a clinical setting, making it a valuable asset in emergency and radiology departments for improving stroke diagnosis and management.</w:t>
      </w:r>
      <w:r w:rsidR="002D53E9" w:rsidRPr="0075113C">
        <w:rPr>
          <w:rFonts w:ascii="Calibri" w:hAnsi="Calibri" w:cs="Calibri"/>
          <w:kern w:val="0"/>
        </w:rPr>
        <w:t xml:space="preserve"> </w:t>
      </w:r>
    </w:p>
    <w:p w14:paraId="4E7E3DB2" w14:textId="77777777" w:rsidR="008D3F90" w:rsidRPr="008D3F90" w:rsidRDefault="008D3F90" w:rsidP="00173B22">
      <w:pPr>
        <w:spacing w:before="100" w:beforeAutospacing="1" w:after="100" w:afterAutospacing="1" w:line="240" w:lineRule="auto"/>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Study 1: "The impact on clinical outcomes after 1 year of implementation of an artificial intelligence solution for the detection of intracranial hemorrhage"</w:t>
      </w:r>
    </w:p>
    <w:p w14:paraId="5C11C348" w14:textId="77777777" w:rsidR="008D3F90" w:rsidRPr="008D3F90" w:rsidRDefault="008D3F90" w:rsidP="00173B22">
      <w:pPr>
        <w:spacing w:before="100" w:beforeAutospacing="1" w:after="100" w:afterAutospacing="1" w:line="240" w:lineRule="auto"/>
        <w:ind w:left="36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lastRenderedPageBreak/>
        <w:t>This retrospective cohort study assessed the impact of implementing Aidoc’s AI solution for detecting intracranial hemorrhage (ICH) in a level 1 trauma center over two periods: pre-AI (1.1.2017–1.1.2018) and post-AI (1.1.2019–1.1.2020). The study involved 587 consecutive patients with confirmed ICH on head CT scans upon admission to the emergency department. Key findings included:</w:t>
      </w:r>
    </w:p>
    <w:p w14:paraId="307D9765" w14:textId="77777777" w:rsidR="008D3F90" w:rsidRPr="008D3F90" w:rsidRDefault="008D3F90" w:rsidP="00173B22">
      <w:pPr>
        <w:numPr>
          <w:ilvl w:val="0"/>
          <w:numId w:val="1"/>
        </w:numPr>
        <w:tabs>
          <w:tab w:val="clear" w:pos="720"/>
          <w:tab w:val="num" w:pos="1080"/>
        </w:tabs>
        <w:spacing w:before="100" w:beforeAutospacing="1" w:after="100" w:afterAutospacing="1" w:line="240" w:lineRule="auto"/>
        <w:ind w:left="108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Mortality Reduction: The study observed a significant reduction in 30- and 120-day all-cause mortality in the post-AI group compared to the pre-AI group (30-day: 27.7% vs. 17.5%, p = 0.004; 120-day: 31.8% vs. 21.7%, p = 0.017).</w:t>
      </w:r>
    </w:p>
    <w:p w14:paraId="5D25C94B" w14:textId="77777777" w:rsidR="008D3F90" w:rsidRPr="008D3F90" w:rsidRDefault="008D3F90" w:rsidP="00173B22">
      <w:pPr>
        <w:numPr>
          <w:ilvl w:val="0"/>
          <w:numId w:val="1"/>
        </w:numPr>
        <w:tabs>
          <w:tab w:val="clear" w:pos="720"/>
          <w:tab w:val="num" w:pos="1080"/>
        </w:tabs>
        <w:spacing w:before="100" w:beforeAutospacing="1" w:after="100" w:afterAutospacing="1" w:line="240" w:lineRule="auto"/>
        <w:ind w:left="108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Improved Neurologic Outcomes: The Modified Rankin Scale (mRS) for neurologic disability at discharge was significantly reduced post-AI implementation (3.2 vs. 2.8; p = 0.044), indicating improved neurologic outcomes.</w:t>
      </w:r>
    </w:p>
    <w:p w14:paraId="0DA826A7" w14:textId="77777777" w:rsidR="008D3F90" w:rsidRPr="008D3F90" w:rsidRDefault="008D3F90" w:rsidP="00173B22">
      <w:pPr>
        <w:spacing w:before="100" w:beforeAutospacing="1" w:after="100" w:afterAutospacing="1" w:line="240" w:lineRule="auto"/>
        <w:ind w:left="357"/>
        <w:rPr>
          <w:rFonts w:ascii="Calibri" w:eastAsia="Times New Roman" w:hAnsi="Calibri" w:cs="Calibri"/>
          <w:kern w:val="0"/>
          <w14:ligatures w14:val="none"/>
        </w:rPr>
      </w:pPr>
      <w:r w:rsidRPr="008D3F90">
        <w:rPr>
          <w:rFonts w:ascii="Calibri" w:eastAsia="Times New Roman" w:hAnsi="Calibri" w:cs="Calibri"/>
          <w:kern w:val="0"/>
          <w14:ligatures w14:val="none"/>
        </w:rPr>
        <w:t>Conclusion: The implementation of Aidoc’s AI solution significantly reduced both short-term (30-day) and medium-term (120-day) mortality rates, as well as morbidity among patients with ICH, demonstrating the clinical value of AI in emergency care settings.</w:t>
      </w:r>
    </w:p>
    <w:p w14:paraId="06DF976F" w14:textId="77777777" w:rsidR="008D3F90" w:rsidRPr="008D3F90" w:rsidRDefault="008D3F90" w:rsidP="00173B22">
      <w:pPr>
        <w:spacing w:before="100" w:beforeAutospacing="1" w:after="100" w:afterAutospacing="1" w:line="240" w:lineRule="auto"/>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Study 2: "A prospective randomized clinical trial for measuring radiology study reporting time on Artificial Intelligence-based detection of intracranial hemorrhage in emergent care head CT"</w:t>
      </w:r>
    </w:p>
    <w:p w14:paraId="4AC12ABB" w14:textId="77777777" w:rsidR="008D3F90" w:rsidRPr="008D3F90" w:rsidRDefault="008D3F90" w:rsidP="00173B22">
      <w:pPr>
        <w:spacing w:before="100" w:beforeAutospacing="1" w:after="100" w:afterAutospacing="1" w:line="240" w:lineRule="auto"/>
        <w:ind w:left="36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This prospective randomized clinical trial evaluated the effect of AI-based detection of ICH on radiology study turnaround time (TAT) in a large academic hospital. The study involved 620 consecutive non-contrast head CT scans from emergency and inpatient settings, analyzed using Aidoc’s AI software. Key findings included:</w:t>
      </w:r>
    </w:p>
    <w:p w14:paraId="6F91249E" w14:textId="77777777" w:rsidR="008D3F90" w:rsidRPr="008D3F90" w:rsidRDefault="008D3F90" w:rsidP="00173B22">
      <w:pPr>
        <w:numPr>
          <w:ilvl w:val="0"/>
          <w:numId w:val="2"/>
        </w:numPr>
        <w:tabs>
          <w:tab w:val="clear" w:pos="720"/>
          <w:tab w:val="num" w:pos="1080"/>
        </w:tabs>
        <w:spacing w:before="100" w:beforeAutospacing="1" w:after="100" w:afterAutospacing="1" w:line="240" w:lineRule="auto"/>
        <w:ind w:left="108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Reduced Turnaround Time: The TAT for cases flagged by AI as positive for ICH (ICH-AI+) was significantly lower than for non-flagged cases (flagged: 73 ± 143 min vs. non-flagged: 132 ± 193 min; p &lt; 0.05).</w:t>
      </w:r>
    </w:p>
    <w:p w14:paraId="2E36B5B0" w14:textId="77777777" w:rsidR="008D3F90" w:rsidRPr="008D3F90" w:rsidRDefault="008D3F90" w:rsidP="00173B22">
      <w:pPr>
        <w:numPr>
          <w:ilvl w:val="0"/>
          <w:numId w:val="2"/>
        </w:numPr>
        <w:tabs>
          <w:tab w:val="clear" w:pos="720"/>
          <w:tab w:val="num" w:pos="1080"/>
        </w:tabs>
        <w:spacing w:before="100" w:beforeAutospacing="1" w:after="100" w:afterAutospacing="1" w:line="240" w:lineRule="auto"/>
        <w:ind w:left="1080"/>
        <w:contextualSpacing/>
        <w:rPr>
          <w:rFonts w:ascii="Calibri" w:eastAsia="Times New Roman" w:hAnsi="Calibri" w:cs="Calibri"/>
          <w:kern w:val="0"/>
          <w14:ligatures w14:val="none"/>
        </w:rPr>
      </w:pPr>
      <w:r w:rsidRPr="008D3F90">
        <w:rPr>
          <w:rFonts w:ascii="Calibri" w:eastAsia="Times New Roman" w:hAnsi="Calibri" w:cs="Calibri"/>
          <w:kern w:val="0"/>
          <w14:ligatures w14:val="none"/>
        </w:rPr>
        <w:t>High Diagnostic Accuracy: The AI demonstrated high sensitivity, specificity, and accuracy in detecting ICH (sensitivity: 95.0%, specificity: 96.7%, accuracy: 96.4%).</w:t>
      </w:r>
    </w:p>
    <w:p w14:paraId="01EB7C2D" w14:textId="444B028D" w:rsidR="008D3F90" w:rsidRPr="008D3F90" w:rsidRDefault="008D3F90" w:rsidP="00173B22">
      <w:pPr>
        <w:spacing w:before="100" w:beforeAutospacing="1" w:after="100" w:afterAutospacing="1" w:line="240" w:lineRule="auto"/>
        <w:ind w:left="360"/>
        <w:rPr>
          <w:rFonts w:ascii="Calibri" w:eastAsia="Times New Roman" w:hAnsi="Calibri" w:cs="Calibri"/>
          <w:kern w:val="0"/>
          <w14:ligatures w14:val="none"/>
        </w:rPr>
      </w:pPr>
      <w:r w:rsidRPr="008D3F90">
        <w:rPr>
          <w:rFonts w:ascii="Calibri" w:eastAsia="Times New Roman" w:hAnsi="Calibri" w:cs="Calibri"/>
          <w:kern w:val="0"/>
          <w14:ligatures w14:val="none"/>
        </w:rPr>
        <w:t>Conclusion: The use of Aidoc’s AI for the automatic identification of ICH significantly reduced the radiology study TAT, potentially expediting therapeutic interventions and improving patient management in emergent care settings..</w:t>
      </w:r>
    </w:p>
    <w:p w14:paraId="57454D35" w14:textId="77777777" w:rsidR="00133DE7" w:rsidRPr="0075113C" w:rsidRDefault="00133DE7" w:rsidP="00666B00">
      <w:pPr>
        <w:rPr>
          <w:rFonts w:ascii="Calibri" w:hAnsi="Calibri" w:cs="Calibri"/>
          <w:kern w:val="0"/>
        </w:rPr>
      </w:pPr>
    </w:p>
    <w:p w14:paraId="303BD618" w14:textId="007D0569" w:rsidR="00666B00" w:rsidRPr="0075113C" w:rsidRDefault="00666B00" w:rsidP="00666B00">
      <w:pPr>
        <w:rPr>
          <w:rFonts w:ascii="Calibri" w:hAnsi="Calibri" w:cs="Calibri"/>
          <w:b/>
          <w:bCs/>
          <w:kern w:val="0"/>
        </w:rPr>
      </w:pPr>
      <w:r w:rsidRPr="0075113C">
        <w:rPr>
          <w:rFonts w:ascii="Calibri" w:hAnsi="Calibri" w:cs="Calibri"/>
          <w:b/>
          <w:bCs/>
          <w:kern w:val="0"/>
        </w:rPr>
        <w:t>Technical Infrastructure</w:t>
      </w:r>
      <w:r w:rsidR="00B275A6" w:rsidRPr="0075113C">
        <w:rPr>
          <w:rFonts w:ascii="Calibri" w:hAnsi="Calibri" w:cs="Calibri"/>
          <w:b/>
          <w:bCs/>
          <w:kern w:val="0"/>
        </w:rPr>
        <w:t xml:space="preserve"> (information find </w:t>
      </w:r>
      <w:r w:rsidR="003B0E5B" w:rsidRPr="0075113C">
        <w:rPr>
          <w:rFonts w:ascii="Calibri" w:hAnsi="Calibri" w:cs="Calibri"/>
          <w:b/>
          <w:bCs/>
          <w:kern w:val="0"/>
        </w:rPr>
        <w:t>in AWS case-study in 2019</w:t>
      </w:r>
      <w:r w:rsidR="00B275A6" w:rsidRPr="0075113C">
        <w:rPr>
          <w:rFonts w:ascii="Calibri" w:hAnsi="Calibri" w:cs="Calibri"/>
          <w:b/>
          <w:bCs/>
          <w:kern w:val="0"/>
        </w:rPr>
        <w:t>)</w:t>
      </w:r>
      <w:r w:rsidRPr="0075113C">
        <w:rPr>
          <w:rFonts w:ascii="Calibri" w:hAnsi="Calibri" w:cs="Calibri"/>
          <w:b/>
          <w:bCs/>
          <w:kern w:val="0"/>
        </w:rPr>
        <w:t>:</w:t>
      </w:r>
    </w:p>
    <w:p w14:paraId="02912B64" w14:textId="77777777" w:rsidR="00666B00" w:rsidRPr="0075113C" w:rsidRDefault="00666B00" w:rsidP="00173B22">
      <w:pPr>
        <w:contextualSpacing/>
        <w:rPr>
          <w:rFonts w:ascii="Calibri" w:hAnsi="Calibri" w:cs="Calibri"/>
          <w:kern w:val="0"/>
        </w:rPr>
      </w:pPr>
      <w:r w:rsidRPr="0075113C">
        <w:rPr>
          <w:rFonts w:ascii="Calibri" w:hAnsi="Calibri" w:cs="Calibri"/>
          <w:kern w:val="0"/>
        </w:rPr>
        <w:t>Aidoc uses Amazon Web Services (AWS) for its technical infrastructure:</w:t>
      </w:r>
    </w:p>
    <w:p w14:paraId="163A588C" w14:textId="75E3AD83" w:rsidR="00666B00" w:rsidRPr="0075113C" w:rsidRDefault="00666B00" w:rsidP="00173B22">
      <w:pPr>
        <w:ind w:left="720"/>
        <w:contextualSpacing/>
        <w:rPr>
          <w:rFonts w:ascii="Calibri" w:hAnsi="Calibri" w:cs="Calibri"/>
          <w:kern w:val="0"/>
        </w:rPr>
      </w:pPr>
      <w:r w:rsidRPr="0075113C">
        <w:rPr>
          <w:rFonts w:ascii="Calibri" w:hAnsi="Calibri" w:cs="Calibri"/>
          <w:kern w:val="0"/>
        </w:rPr>
        <w:t>- Amazon Elastic Compute Cloud (Amazon EC2) P3 instances are used to train machine learning (ML) models and execute inference processes.</w:t>
      </w:r>
    </w:p>
    <w:p w14:paraId="5763B5B2" w14:textId="03541E5E" w:rsidR="00666B00" w:rsidRPr="0075113C" w:rsidRDefault="00666B00" w:rsidP="00173B22">
      <w:pPr>
        <w:ind w:left="720"/>
        <w:contextualSpacing/>
        <w:rPr>
          <w:rFonts w:ascii="Calibri" w:hAnsi="Calibri" w:cs="Calibri"/>
          <w:kern w:val="0"/>
        </w:rPr>
      </w:pPr>
      <w:r w:rsidRPr="0075113C">
        <w:rPr>
          <w:rFonts w:ascii="Calibri" w:hAnsi="Calibri" w:cs="Calibri"/>
          <w:kern w:val="0"/>
        </w:rPr>
        <w:t>- Amazon Simple Storage Service (Amazon S3) stores anonymized medical imagery for analysis.</w:t>
      </w:r>
    </w:p>
    <w:p w14:paraId="3B504FB5" w14:textId="06CD7FF8" w:rsidR="00666B00" w:rsidRPr="0075113C" w:rsidRDefault="00666B00" w:rsidP="00173B22">
      <w:pPr>
        <w:ind w:left="720"/>
        <w:rPr>
          <w:rFonts w:ascii="Calibri" w:hAnsi="Calibri" w:cs="Calibri"/>
          <w:kern w:val="0"/>
        </w:rPr>
      </w:pPr>
      <w:r w:rsidRPr="0075113C">
        <w:rPr>
          <w:rFonts w:ascii="Calibri" w:hAnsi="Calibri" w:cs="Calibri"/>
          <w:kern w:val="0"/>
        </w:rPr>
        <w:t xml:space="preserve">- Amazon Relational Database Service (Amazon RDS) stores image metadata. </w:t>
      </w:r>
    </w:p>
    <w:p w14:paraId="5EAFFBC6" w14:textId="1547BAE7" w:rsidR="00BF3671" w:rsidRPr="0075113C" w:rsidRDefault="00BF3671" w:rsidP="00666B00">
      <w:pPr>
        <w:rPr>
          <w:rFonts w:ascii="Calibri" w:hAnsi="Calibri" w:cs="Calibri"/>
          <w:b/>
          <w:bCs/>
          <w:kern w:val="0"/>
        </w:rPr>
      </w:pPr>
      <w:r w:rsidRPr="0075113C">
        <w:rPr>
          <w:rFonts w:ascii="Calibri" w:hAnsi="Calibri" w:cs="Calibri"/>
          <w:b/>
          <w:bCs/>
          <w:kern w:val="0"/>
        </w:rPr>
        <w:lastRenderedPageBreak/>
        <w:t>References:</w:t>
      </w:r>
    </w:p>
    <w:p w14:paraId="33070F17" w14:textId="4C5F720A" w:rsidR="00BF3671" w:rsidRPr="0075113C" w:rsidRDefault="008B192B" w:rsidP="00BF3671">
      <w:pPr>
        <w:rPr>
          <w:rFonts w:ascii="Calibri" w:hAnsi="Calibri" w:cs="Calibri"/>
          <w:kern w:val="0"/>
        </w:rPr>
      </w:pPr>
      <w:r>
        <w:rPr>
          <w:rFonts w:ascii="Calibri" w:hAnsi="Calibri" w:cs="Calibri" w:hint="eastAsia"/>
          <w:kern w:val="0"/>
        </w:rPr>
        <w:t>1</w:t>
      </w:r>
      <w:r w:rsidR="00BF3671" w:rsidRPr="0075113C">
        <w:rPr>
          <w:rFonts w:ascii="Calibri" w:hAnsi="Calibri" w:cs="Calibri"/>
          <w:kern w:val="0"/>
        </w:rPr>
        <w:t>. FDA Approval:</w:t>
      </w:r>
    </w:p>
    <w:p w14:paraId="30DAB4EE" w14:textId="32C51C29" w:rsidR="00BF3671" w:rsidRPr="0075113C" w:rsidRDefault="005D67EF" w:rsidP="00BF3671">
      <w:pPr>
        <w:rPr>
          <w:rFonts w:ascii="Calibri" w:hAnsi="Calibri" w:cs="Calibri"/>
          <w:kern w:val="0"/>
        </w:rPr>
      </w:pPr>
      <w:r w:rsidRPr="0075113C">
        <w:rPr>
          <w:rFonts w:ascii="Calibri" w:hAnsi="Calibri" w:cs="Calibri"/>
          <w:kern w:val="0"/>
        </w:rPr>
        <w:t>Artificial Intelligence and Machine Learning (AI/ML)-Enabled Medical Devices</w:t>
      </w:r>
      <w:r w:rsidR="00BF3671" w:rsidRPr="0075113C">
        <w:rPr>
          <w:rFonts w:ascii="Calibri" w:hAnsi="Calibri" w:cs="Calibri"/>
          <w:kern w:val="0"/>
        </w:rPr>
        <w:t>. (</w:t>
      </w:r>
      <w:r w:rsidRPr="0075113C">
        <w:rPr>
          <w:rFonts w:ascii="Calibri" w:hAnsi="Calibri" w:cs="Calibri"/>
          <w:kern w:val="0"/>
        </w:rPr>
        <w:t>May 13, 2024 update</w:t>
      </w:r>
      <w:r w:rsidR="00BF3671" w:rsidRPr="0075113C">
        <w:rPr>
          <w:rFonts w:ascii="Calibri" w:hAnsi="Calibri" w:cs="Calibri"/>
          <w:kern w:val="0"/>
        </w:rPr>
        <w:t>). [FDA](</w:t>
      </w:r>
      <w:hyperlink r:id="rId5" w:history="1">
        <w:r w:rsidR="00F541E8" w:rsidRPr="0075113C">
          <w:rPr>
            <w:rStyle w:val="Hyperlink"/>
            <w:rFonts w:ascii="Calibri" w:hAnsi="Calibri" w:cs="Calibri"/>
            <w:kern w:val="0"/>
          </w:rPr>
          <w:t>https://www.fda.gov/medical-devices/software-medical-device-samd/artificial-intelligence-and-machine-learning-aiml-enabled-medical-devices</w:t>
        </w:r>
      </w:hyperlink>
      <w:r w:rsidR="00BF3671" w:rsidRPr="0075113C">
        <w:rPr>
          <w:rFonts w:ascii="Calibri" w:hAnsi="Calibri" w:cs="Calibri"/>
          <w:kern w:val="0"/>
        </w:rPr>
        <w:t>)</w:t>
      </w:r>
    </w:p>
    <w:p w14:paraId="72F5CCBE" w14:textId="4F7F1B49" w:rsidR="00F541E8" w:rsidRPr="0075113C" w:rsidRDefault="006C2DDB" w:rsidP="00BF3671">
      <w:pPr>
        <w:rPr>
          <w:rFonts w:ascii="Calibri" w:hAnsi="Calibri" w:cs="Calibri"/>
          <w:kern w:val="0"/>
        </w:rPr>
      </w:pPr>
      <w:r w:rsidRPr="0075113C">
        <w:rPr>
          <w:rFonts w:ascii="Calibri" w:hAnsi="Calibri" w:cs="Calibri"/>
          <w:kern w:val="0"/>
        </w:rPr>
        <w:t xml:space="preserve">Include </w:t>
      </w:r>
      <w:r w:rsidR="00F90128" w:rsidRPr="0075113C">
        <w:rPr>
          <w:rFonts w:ascii="Calibri" w:hAnsi="Calibri" w:cs="Calibri"/>
          <w:kern w:val="0"/>
        </w:rPr>
        <w:t>Automated Radiological Image Processing Software</w:t>
      </w:r>
      <w:r w:rsidR="003E3182" w:rsidRPr="0075113C">
        <w:rPr>
          <w:rFonts w:ascii="Calibri" w:hAnsi="Calibri" w:cs="Calibri"/>
          <w:kern w:val="0"/>
        </w:rPr>
        <w:t xml:space="preserve"> and Radiological Computer-Assisted Triage </w:t>
      </w:r>
      <w:r w:rsidR="00D31761" w:rsidRPr="0075113C">
        <w:rPr>
          <w:rFonts w:ascii="Calibri" w:hAnsi="Calibri" w:cs="Calibri"/>
          <w:kern w:val="0"/>
        </w:rPr>
        <w:t>and</w:t>
      </w:r>
      <w:r w:rsidR="003E3182" w:rsidRPr="0075113C">
        <w:rPr>
          <w:rFonts w:ascii="Calibri" w:hAnsi="Calibri" w:cs="Calibri"/>
          <w:kern w:val="0"/>
        </w:rPr>
        <w:t xml:space="preserve"> Notification Software</w:t>
      </w:r>
    </w:p>
    <w:p w14:paraId="515BE48E" w14:textId="7962B1DE" w:rsidR="00BF3671" w:rsidRPr="0075113C" w:rsidRDefault="003877C1" w:rsidP="00BF3671">
      <w:pPr>
        <w:rPr>
          <w:rFonts w:ascii="Calibri" w:hAnsi="Calibri" w:cs="Calibri"/>
          <w:kern w:val="0"/>
        </w:rPr>
      </w:pPr>
      <w:r w:rsidRPr="0075113C">
        <w:rPr>
          <w:rFonts w:ascii="Calibri" w:hAnsi="Calibri" w:cs="Calibri"/>
          <w:kern w:val="0"/>
        </w:rPr>
        <w:t xml:space="preserve">-module for </w:t>
      </w:r>
      <w:r w:rsidR="00DD6C2C" w:rsidRPr="0075113C">
        <w:rPr>
          <w:rFonts w:ascii="Calibri" w:hAnsi="Calibri" w:cs="Calibri"/>
          <w:kern w:val="0"/>
        </w:rPr>
        <w:t>the triage of Large-Vessel Occlusion (LVO) in head CTA scans</w:t>
      </w:r>
    </w:p>
    <w:p w14:paraId="25E8DBC9" w14:textId="5A4E8C01" w:rsidR="00965E65" w:rsidRPr="0075113C" w:rsidRDefault="003877C1" w:rsidP="00BF3671">
      <w:pPr>
        <w:rPr>
          <w:rFonts w:ascii="Calibri" w:hAnsi="Calibri" w:cs="Calibri"/>
          <w:kern w:val="0"/>
        </w:rPr>
      </w:pPr>
      <w:r w:rsidRPr="0075113C">
        <w:rPr>
          <w:rFonts w:ascii="Calibri" w:hAnsi="Calibri" w:cs="Calibri"/>
          <w:kern w:val="0"/>
        </w:rPr>
        <w:t>-</w:t>
      </w:r>
      <w:r w:rsidR="00965E65" w:rsidRPr="0075113C">
        <w:rPr>
          <w:rFonts w:ascii="Calibri" w:hAnsi="Calibri" w:cs="Calibri"/>
          <w:kern w:val="0"/>
        </w:rPr>
        <w:t>module for Intracranial hemorrhage</w:t>
      </w:r>
    </w:p>
    <w:tbl>
      <w:tblPr>
        <w:tblStyle w:val="TableGrid"/>
        <w:tblW w:w="0" w:type="auto"/>
        <w:tblLook w:val="04A0" w:firstRow="1" w:lastRow="0" w:firstColumn="1" w:lastColumn="0" w:noHBand="0" w:noVBand="1"/>
      </w:tblPr>
      <w:tblGrid>
        <w:gridCol w:w="1365"/>
        <w:gridCol w:w="1339"/>
        <w:gridCol w:w="1871"/>
        <w:gridCol w:w="1190"/>
        <w:gridCol w:w="1164"/>
        <w:gridCol w:w="1367"/>
      </w:tblGrid>
      <w:tr w:rsidR="00A81135" w:rsidRPr="00A81135" w14:paraId="66A15F9C" w14:textId="77777777" w:rsidTr="00A81135">
        <w:trPr>
          <w:trHeight w:val="300"/>
        </w:trPr>
        <w:tc>
          <w:tcPr>
            <w:tcW w:w="7955" w:type="dxa"/>
            <w:gridSpan w:val="6"/>
            <w:noWrap/>
            <w:hideMark/>
          </w:tcPr>
          <w:p w14:paraId="548AA9CF" w14:textId="77777777" w:rsidR="00A81135" w:rsidRPr="00A81135" w:rsidRDefault="00A81135" w:rsidP="00A81135">
            <w:pPr>
              <w:rPr>
                <w:rFonts w:ascii="Calibri" w:hAnsi="Calibri" w:cs="Calibri"/>
                <w:kern w:val="0"/>
              </w:rPr>
            </w:pPr>
            <w:r w:rsidRPr="00A81135">
              <w:rPr>
                <w:rFonts w:ascii="Calibri" w:hAnsi="Calibri" w:cs="Calibri"/>
                <w:kern w:val="0"/>
              </w:rPr>
              <w:t>Artificial Intelligence and Machine Learning (AI/ML)-Enabled Medical Devices | FDA</w:t>
            </w:r>
          </w:p>
        </w:tc>
      </w:tr>
      <w:tr w:rsidR="00A81135" w:rsidRPr="00A81135" w14:paraId="0EB26BEE" w14:textId="77777777" w:rsidTr="00A81135">
        <w:trPr>
          <w:trHeight w:val="300"/>
        </w:trPr>
        <w:tc>
          <w:tcPr>
            <w:tcW w:w="1365" w:type="dxa"/>
            <w:noWrap/>
            <w:hideMark/>
          </w:tcPr>
          <w:p w14:paraId="57DDD5B6" w14:textId="77777777" w:rsidR="00A81135" w:rsidRPr="00A81135" w:rsidRDefault="00A81135">
            <w:pPr>
              <w:rPr>
                <w:rFonts w:ascii="Calibri" w:hAnsi="Calibri" w:cs="Calibri"/>
                <w:b/>
                <w:bCs/>
                <w:kern w:val="0"/>
              </w:rPr>
            </w:pPr>
            <w:r w:rsidRPr="00A81135">
              <w:rPr>
                <w:rFonts w:ascii="Calibri" w:hAnsi="Calibri" w:cs="Calibri"/>
                <w:b/>
                <w:bCs/>
                <w:kern w:val="0"/>
              </w:rPr>
              <w:t>Date of Final Decision</w:t>
            </w:r>
          </w:p>
        </w:tc>
        <w:tc>
          <w:tcPr>
            <w:tcW w:w="1279" w:type="dxa"/>
            <w:noWrap/>
            <w:hideMark/>
          </w:tcPr>
          <w:p w14:paraId="745C927D" w14:textId="77777777" w:rsidR="00A81135" w:rsidRPr="00A81135" w:rsidRDefault="00A81135">
            <w:pPr>
              <w:rPr>
                <w:rFonts w:ascii="Calibri" w:hAnsi="Calibri" w:cs="Calibri"/>
                <w:b/>
                <w:bCs/>
                <w:kern w:val="0"/>
              </w:rPr>
            </w:pPr>
            <w:r w:rsidRPr="00A81135">
              <w:rPr>
                <w:rFonts w:ascii="Calibri" w:hAnsi="Calibri" w:cs="Calibri"/>
                <w:b/>
                <w:bCs/>
                <w:kern w:val="0"/>
              </w:rPr>
              <w:t>Submission Number</w:t>
            </w:r>
          </w:p>
        </w:tc>
        <w:tc>
          <w:tcPr>
            <w:tcW w:w="1887" w:type="dxa"/>
            <w:noWrap/>
            <w:hideMark/>
          </w:tcPr>
          <w:p w14:paraId="1E6CAA6A" w14:textId="77777777" w:rsidR="00A81135" w:rsidRPr="00A81135" w:rsidRDefault="00A81135">
            <w:pPr>
              <w:rPr>
                <w:rFonts w:ascii="Calibri" w:hAnsi="Calibri" w:cs="Calibri"/>
                <w:b/>
                <w:bCs/>
                <w:kern w:val="0"/>
              </w:rPr>
            </w:pPr>
            <w:r w:rsidRPr="00A81135">
              <w:rPr>
                <w:rFonts w:ascii="Calibri" w:hAnsi="Calibri" w:cs="Calibri"/>
                <w:b/>
                <w:bCs/>
                <w:kern w:val="0"/>
              </w:rPr>
              <w:t>Device</w:t>
            </w:r>
          </w:p>
        </w:tc>
        <w:tc>
          <w:tcPr>
            <w:tcW w:w="1199" w:type="dxa"/>
            <w:noWrap/>
            <w:hideMark/>
          </w:tcPr>
          <w:p w14:paraId="49D278A7" w14:textId="77777777" w:rsidR="00A81135" w:rsidRPr="00A81135" w:rsidRDefault="00A81135">
            <w:pPr>
              <w:rPr>
                <w:rFonts w:ascii="Calibri" w:hAnsi="Calibri" w:cs="Calibri"/>
                <w:b/>
                <w:bCs/>
                <w:kern w:val="0"/>
              </w:rPr>
            </w:pPr>
            <w:r w:rsidRPr="00A81135">
              <w:rPr>
                <w:rFonts w:ascii="Calibri" w:hAnsi="Calibri" w:cs="Calibri"/>
                <w:b/>
                <w:bCs/>
                <w:kern w:val="0"/>
              </w:rPr>
              <w:t>Company</w:t>
            </w:r>
          </w:p>
        </w:tc>
        <w:tc>
          <w:tcPr>
            <w:tcW w:w="844" w:type="dxa"/>
            <w:noWrap/>
            <w:hideMark/>
          </w:tcPr>
          <w:p w14:paraId="2A6B77D6" w14:textId="77777777" w:rsidR="00A81135" w:rsidRPr="00A81135" w:rsidRDefault="00A81135">
            <w:pPr>
              <w:rPr>
                <w:rFonts w:ascii="Calibri" w:hAnsi="Calibri" w:cs="Calibri"/>
                <w:b/>
                <w:bCs/>
                <w:kern w:val="0"/>
              </w:rPr>
            </w:pPr>
            <w:r w:rsidRPr="00A81135">
              <w:rPr>
                <w:rFonts w:ascii="Calibri" w:hAnsi="Calibri" w:cs="Calibri"/>
                <w:b/>
                <w:bCs/>
                <w:kern w:val="0"/>
              </w:rPr>
              <w:t>Panel (Lead)</w:t>
            </w:r>
          </w:p>
        </w:tc>
        <w:tc>
          <w:tcPr>
            <w:tcW w:w="1378" w:type="dxa"/>
            <w:noWrap/>
            <w:hideMark/>
          </w:tcPr>
          <w:p w14:paraId="77E1060F" w14:textId="77777777" w:rsidR="00A81135" w:rsidRPr="00A81135" w:rsidRDefault="00A81135">
            <w:pPr>
              <w:rPr>
                <w:rFonts w:ascii="Calibri" w:hAnsi="Calibri" w:cs="Calibri"/>
                <w:b/>
                <w:bCs/>
                <w:kern w:val="0"/>
              </w:rPr>
            </w:pPr>
            <w:r w:rsidRPr="00A81135">
              <w:rPr>
                <w:rFonts w:ascii="Calibri" w:hAnsi="Calibri" w:cs="Calibri"/>
                <w:b/>
                <w:bCs/>
                <w:kern w:val="0"/>
              </w:rPr>
              <w:t>Primary Product Code</w:t>
            </w:r>
          </w:p>
        </w:tc>
      </w:tr>
      <w:tr w:rsidR="00A81135" w:rsidRPr="00A81135" w14:paraId="5C4FC565" w14:textId="77777777" w:rsidTr="00A81135">
        <w:trPr>
          <w:trHeight w:val="300"/>
        </w:trPr>
        <w:tc>
          <w:tcPr>
            <w:tcW w:w="1365" w:type="dxa"/>
            <w:noWrap/>
            <w:hideMark/>
          </w:tcPr>
          <w:p w14:paraId="6DE35450" w14:textId="77777777" w:rsidR="00A81135" w:rsidRPr="00A81135" w:rsidRDefault="00A81135">
            <w:pPr>
              <w:rPr>
                <w:rFonts w:ascii="Calibri" w:hAnsi="Calibri" w:cs="Calibri"/>
                <w:kern w:val="0"/>
              </w:rPr>
            </w:pPr>
            <w:r w:rsidRPr="00A81135">
              <w:rPr>
                <w:rFonts w:ascii="Calibri" w:hAnsi="Calibri" w:cs="Calibri"/>
                <w:kern w:val="0"/>
              </w:rPr>
              <w:t>11/28/2023</w:t>
            </w:r>
          </w:p>
        </w:tc>
        <w:tc>
          <w:tcPr>
            <w:tcW w:w="1279" w:type="dxa"/>
            <w:noWrap/>
            <w:hideMark/>
          </w:tcPr>
          <w:p w14:paraId="45266C82" w14:textId="77777777" w:rsidR="00A81135" w:rsidRPr="00A81135" w:rsidRDefault="00C37C0C">
            <w:pPr>
              <w:rPr>
                <w:rFonts w:ascii="Calibri" w:hAnsi="Calibri" w:cs="Calibri"/>
                <w:kern w:val="0"/>
              </w:rPr>
            </w:pPr>
            <w:hyperlink r:id="rId6" w:tgtFrame="_parent" w:history="1">
              <w:r w:rsidR="00A81135" w:rsidRPr="00A81135">
                <w:rPr>
                  <w:rStyle w:val="Hyperlink"/>
                  <w:rFonts w:ascii="Calibri" w:hAnsi="Calibri" w:cs="Calibri"/>
                  <w:kern w:val="0"/>
                </w:rPr>
                <w:t>K231631</w:t>
              </w:r>
            </w:hyperlink>
          </w:p>
        </w:tc>
        <w:tc>
          <w:tcPr>
            <w:tcW w:w="1887" w:type="dxa"/>
            <w:noWrap/>
            <w:hideMark/>
          </w:tcPr>
          <w:p w14:paraId="6E1DA358" w14:textId="77777777" w:rsidR="00A81135" w:rsidRPr="00A81135" w:rsidRDefault="00A81135">
            <w:pPr>
              <w:rPr>
                <w:rFonts w:ascii="Calibri" w:hAnsi="Calibri" w:cs="Calibri"/>
                <w:kern w:val="0"/>
              </w:rPr>
            </w:pPr>
            <w:r w:rsidRPr="00A81135">
              <w:rPr>
                <w:rFonts w:ascii="Calibri" w:hAnsi="Calibri" w:cs="Calibri"/>
                <w:kern w:val="0"/>
              </w:rPr>
              <w:t>BriefCase-Quantification</w:t>
            </w:r>
          </w:p>
        </w:tc>
        <w:tc>
          <w:tcPr>
            <w:tcW w:w="1199" w:type="dxa"/>
            <w:noWrap/>
            <w:hideMark/>
          </w:tcPr>
          <w:p w14:paraId="02106B4C"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AF0EDB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17DB8A27" w14:textId="77777777" w:rsidR="00A81135" w:rsidRPr="00A81135" w:rsidRDefault="00A81135">
            <w:pPr>
              <w:rPr>
                <w:rFonts w:ascii="Calibri" w:hAnsi="Calibri" w:cs="Calibri"/>
                <w:kern w:val="0"/>
              </w:rPr>
            </w:pPr>
            <w:r w:rsidRPr="00A81135">
              <w:rPr>
                <w:rFonts w:ascii="Calibri" w:hAnsi="Calibri" w:cs="Calibri"/>
                <w:kern w:val="0"/>
              </w:rPr>
              <w:t>JAK</w:t>
            </w:r>
          </w:p>
        </w:tc>
      </w:tr>
      <w:tr w:rsidR="00A81135" w:rsidRPr="00A81135" w14:paraId="45867681" w14:textId="77777777" w:rsidTr="00A81135">
        <w:trPr>
          <w:trHeight w:val="300"/>
        </w:trPr>
        <w:tc>
          <w:tcPr>
            <w:tcW w:w="1365" w:type="dxa"/>
            <w:noWrap/>
            <w:hideMark/>
          </w:tcPr>
          <w:p w14:paraId="7B549B9D" w14:textId="77777777" w:rsidR="00A81135" w:rsidRPr="00A81135" w:rsidRDefault="00A81135">
            <w:pPr>
              <w:rPr>
                <w:rFonts w:ascii="Calibri" w:hAnsi="Calibri" w:cs="Calibri"/>
                <w:kern w:val="0"/>
              </w:rPr>
            </w:pPr>
            <w:r w:rsidRPr="00A81135">
              <w:rPr>
                <w:rFonts w:ascii="Calibri" w:hAnsi="Calibri" w:cs="Calibri"/>
                <w:kern w:val="0"/>
              </w:rPr>
              <w:t>11/13/2023</w:t>
            </w:r>
          </w:p>
        </w:tc>
        <w:tc>
          <w:tcPr>
            <w:tcW w:w="1279" w:type="dxa"/>
            <w:noWrap/>
            <w:hideMark/>
          </w:tcPr>
          <w:p w14:paraId="77E2D3C3" w14:textId="77777777" w:rsidR="00A81135" w:rsidRPr="00A81135" w:rsidRDefault="00C37C0C">
            <w:pPr>
              <w:rPr>
                <w:rFonts w:ascii="Calibri" w:hAnsi="Calibri" w:cs="Calibri"/>
                <w:kern w:val="0"/>
              </w:rPr>
            </w:pPr>
            <w:hyperlink r:id="rId7" w:tgtFrame="_parent" w:history="1">
              <w:r w:rsidR="00A81135" w:rsidRPr="00A81135">
                <w:rPr>
                  <w:rStyle w:val="Hyperlink"/>
                  <w:rFonts w:ascii="Calibri" w:hAnsi="Calibri" w:cs="Calibri"/>
                  <w:kern w:val="0"/>
                </w:rPr>
                <w:t>K232083</w:t>
              </w:r>
            </w:hyperlink>
          </w:p>
        </w:tc>
        <w:tc>
          <w:tcPr>
            <w:tcW w:w="1887" w:type="dxa"/>
            <w:noWrap/>
            <w:hideMark/>
          </w:tcPr>
          <w:p w14:paraId="53E2D840" w14:textId="77777777" w:rsidR="00A81135" w:rsidRPr="00A81135" w:rsidRDefault="00A81135">
            <w:pPr>
              <w:rPr>
                <w:rFonts w:ascii="Calibri" w:hAnsi="Calibri" w:cs="Calibri"/>
                <w:kern w:val="0"/>
              </w:rPr>
            </w:pPr>
            <w:r w:rsidRPr="00A81135">
              <w:rPr>
                <w:rFonts w:ascii="Calibri" w:hAnsi="Calibri" w:cs="Calibri"/>
                <w:kern w:val="0"/>
              </w:rPr>
              <w:t>BriefCase-Quantification</w:t>
            </w:r>
          </w:p>
        </w:tc>
        <w:tc>
          <w:tcPr>
            <w:tcW w:w="1199" w:type="dxa"/>
            <w:noWrap/>
            <w:hideMark/>
          </w:tcPr>
          <w:p w14:paraId="408EE531"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4FB6FC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7CFB089D" w14:textId="77777777" w:rsidR="00A81135" w:rsidRPr="00A81135" w:rsidRDefault="00A81135">
            <w:pPr>
              <w:rPr>
                <w:rFonts w:ascii="Calibri" w:hAnsi="Calibri" w:cs="Calibri"/>
                <w:kern w:val="0"/>
              </w:rPr>
            </w:pPr>
            <w:r w:rsidRPr="00A81135">
              <w:rPr>
                <w:rFonts w:ascii="Calibri" w:hAnsi="Calibri" w:cs="Calibri"/>
                <w:kern w:val="0"/>
              </w:rPr>
              <w:t>QIH</w:t>
            </w:r>
          </w:p>
        </w:tc>
      </w:tr>
      <w:tr w:rsidR="00A81135" w:rsidRPr="00A81135" w14:paraId="5EBBA619" w14:textId="77777777" w:rsidTr="00A81135">
        <w:trPr>
          <w:trHeight w:val="300"/>
        </w:trPr>
        <w:tc>
          <w:tcPr>
            <w:tcW w:w="1365" w:type="dxa"/>
            <w:noWrap/>
            <w:hideMark/>
          </w:tcPr>
          <w:p w14:paraId="527D1C49" w14:textId="77777777" w:rsidR="00A81135" w:rsidRPr="00A81135" w:rsidRDefault="00A81135">
            <w:pPr>
              <w:rPr>
                <w:rFonts w:ascii="Calibri" w:hAnsi="Calibri" w:cs="Calibri"/>
                <w:kern w:val="0"/>
              </w:rPr>
            </w:pPr>
            <w:r w:rsidRPr="00A81135">
              <w:rPr>
                <w:rFonts w:ascii="Calibri" w:hAnsi="Calibri" w:cs="Calibri"/>
                <w:kern w:val="0"/>
              </w:rPr>
              <w:t>11/08/2023</w:t>
            </w:r>
          </w:p>
        </w:tc>
        <w:tc>
          <w:tcPr>
            <w:tcW w:w="1279" w:type="dxa"/>
            <w:noWrap/>
            <w:hideMark/>
          </w:tcPr>
          <w:p w14:paraId="24B30C2A" w14:textId="77777777" w:rsidR="00A81135" w:rsidRPr="00A81135" w:rsidRDefault="00C37C0C">
            <w:pPr>
              <w:rPr>
                <w:rFonts w:ascii="Calibri" w:hAnsi="Calibri" w:cs="Calibri"/>
                <w:kern w:val="0"/>
              </w:rPr>
            </w:pPr>
            <w:hyperlink r:id="rId8" w:tgtFrame="_parent" w:history="1">
              <w:r w:rsidR="00A81135" w:rsidRPr="00A81135">
                <w:rPr>
                  <w:rStyle w:val="Hyperlink"/>
                  <w:rFonts w:ascii="Calibri" w:hAnsi="Calibri" w:cs="Calibri"/>
                  <w:kern w:val="0"/>
                </w:rPr>
                <w:t>K230534</w:t>
              </w:r>
            </w:hyperlink>
          </w:p>
        </w:tc>
        <w:tc>
          <w:tcPr>
            <w:tcW w:w="1887" w:type="dxa"/>
            <w:noWrap/>
            <w:hideMark/>
          </w:tcPr>
          <w:p w14:paraId="03E67377" w14:textId="77777777" w:rsidR="00A81135" w:rsidRPr="00A81135" w:rsidRDefault="00A81135">
            <w:pPr>
              <w:rPr>
                <w:rFonts w:ascii="Calibri" w:hAnsi="Calibri" w:cs="Calibri"/>
                <w:kern w:val="0"/>
              </w:rPr>
            </w:pPr>
            <w:r w:rsidRPr="00A81135">
              <w:rPr>
                <w:rFonts w:ascii="Calibri" w:hAnsi="Calibri" w:cs="Calibri"/>
                <w:kern w:val="0"/>
              </w:rPr>
              <w:t>BriefCase-Quantification</w:t>
            </w:r>
          </w:p>
        </w:tc>
        <w:tc>
          <w:tcPr>
            <w:tcW w:w="1199" w:type="dxa"/>
            <w:noWrap/>
            <w:hideMark/>
          </w:tcPr>
          <w:p w14:paraId="3AE8454B"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7BB71666"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39E34430" w14:textId="77777777" w:rsidR="00A81135" w:rsidRPr="00A81135" w:rsidRDefault="00A81135">
            <w:pPr>
              <w:rPr>
                <w:rFonts w:ascii="Calibri" w:hAnsi="Calibri" w:cs="Calibri"/>
                <w:kern w:val="0"/>
              </w:rPr>
            </w:pPr>
            <w:r w:rsidRPr="00A81135">
              <w:rPr>
                <w:rFonts w:ascii="Calibri" w:hAnsi="Calibri" w:cs="Calibri"/>
                <w:kern w:val="0"/>
              </w:rPr>
              <w:t>QIH</w:t>
            </w:r>
          </w:p>
        </w:tc>
      </w:tr>
      <w:tr w:rsidR="00A81135" w:rsidRPr="00A81135" w14:paraId="0D4AE813" w14:textId="77777777" w:rsidTr="00A81135">
        <w:trPr>
          <w:trHeight w:val="300"/>
        </w:trPr>
        <w:tc>
          <w:tcPr>
            <w:tcW w:w="1365" w:type="dxa"/>
            <w:noWrap/>
            <w:hideMark/>
          </w:tcPr>
          <w:p w14:paraId="5FE003EB" w14:textId="77777777" w:rsidR="00A81135" w:rsidRPr="00A81135" w:rsidRDefault="00A81135">
            <w:pPr>
              <w:rPr>
                <w:rFonts w:ascii="Calibri" w:hAnsi="Calibri" w:cs="Calibri"/>
                <w:kern w:val="0"/>
              </w:rPr>
            </w:pPr>
            <w:r w:rsidRPr="00A81135">
              <w:rPr>
                <w:rFonts w:ascii="Calibri" w:hAnsi="Calibri" w:cs="Calibri"/>
                <w:kern w:val="0"/>
              </w:rPr>
              <w:t>10/30/2023</w:t>
            </w:r>
          </w:p>
        </w:tc>
        <w:tc>
          <w:tcPr>
            <w:tcW w:w="1279" w:type="dxa"/>
            <w:noWrap/>
            <w:hideMark/>
          </w:tcPr>
          <w:p w14:paraId="30032B5C" w14:textId="77777777" w:rsidR="00A81135" w:rsidRPr="00A81135" w:rsidRDefault="00C37C0C">
            <w:pPr>
              <w:rPr>
                <w:rFonts w:ascii="Calibri" w:hAnsi="Calibri" w:cs="Calibri"/>
                <w:kern w:val="0"/>
              </w:rPr>
            </w:pPr>
            <w:hyperlink r:id="rId9" w:tgtFrame="_parent" w:history="1">
              <w:r w:rsidR="00A81135" w:rsidRPr="00A81135">
                <w:rPr>
                  <w:rStyle w:val="Hyperlink"/>
                  <w:rFonts w:ascii="Calibri" w:hAnsi="Calibri" w:cs="Calibri"/>
                  <w:kern w:val="0"/>
                </w:rPr>
                <w:t>K232751</w:t>
              </w:r>
            </w:hyperlink>
          </w:p>
        </w:tc>
        <w:tc>
          <w:tcPr>
            <w:tcW w:w="1887" w:type="dxa"/>
            <w:noWrap/>
            <w:hideMark/>
          </w:tcPr>
          <w:p w14:paraId="04A32BDC" w14:textId="77777777" w:rsidR="00A81135" w:rsidRPr="00A81135" w:rsidRDefault="00A81135">
            <w:pPr>
              <w:rPr>
                <w:rFonts w:ascii="Calibri" w:hAnsi="Calibri" w:cs="Calibri"/>
                <w:kern w:val="0"/>
              </w:rPr>
            </w:pPr>
            <w:r w:rsidRPr="00A81135">
              <w:rPr>
                <w:rFonts w:ascii="Calibri" w:hAnsi="Calibri" w:cs="Calibri"/>
                <w:kern w:val="0"/>
              </w:rPr>
              <w:t>BriefCase-Triage</w:t>
            </w:r>
          </w:p>
        </w:tc>
        <w:tc>
          <w:tcPr>
            <w:tcW w:w="1199" w:type="dxa"/>
            <w:noWrap/>
            <w:hideMark/>
          </w:tcPr>
          <w:p w14:paraId="02D65CAF"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74AE5D2B"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60393248"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6673D590" w14:textId="77777777" w:rsidTr="00A81135">
        <w:trPr>
          <w:trHeight w:val="300"/>
        </w:trPr>
        <w:tc>
          <w:tcPr>
            <w:tcW w:w="1365" w:type="dxa"/>
            <w:noWrap/>
            <w:hideMark/>
          </w:tcPr>
          <w:p w14:paraId="0DB5D44E" w14:textId="77777777" w:rsidR="00A81135" w:rsidRPr="00A81135" w:rsidRDefault="00A81135">
            <w:pPr>
              <w:rPr>
                <w:rFonts w:ascii="Calibri" w:hAnsi="Calibri" w:cs="Calibri"/>
                <w:kern w:val="0"/>
              </w:rPr>
            </w:pPr>
            <w:r w:rsidRPr="00A81135">
              <w:rPr>
                <w:rFonts w:ascii="Calibri" w:hAnsi="Calibri" w:cs="Calibri"/>
                <w:kern w:val="0"/>
              </w:rPr>
              <w:t>02/01/2023</w:t>
            </w:r>
          </w:p>
        </w:tc>
        <w:tc>
          <w:tcPr>
            <w:tcW w:w="1279" w:type="dxa"/>
            <w:noWrap/>
            <w:hideMark/>
          </w:tcPr>
          <w:p w14:paraId="139E7F0B" w14:textId="77777777" w:rsidR="00A81135" w:rsidRPr="00A81135" w:rsidRDefault="00C37C0C">
            <w:pPr>
              <w:rPr>
                <w:rFonts w:ascii="Calibri" w:hAnsi="Calibri" w:cs="Calibri"/>
                <w:kern w:val="0"/>
              </w:rPr>
            </w:pPr>
            <w:hyperlink r:id="rId10" w:tgtFrame="_parent" w:history="1">
              <w:r w:rsidR="00A81135" w:rsidRPr="00A81135">
                <w:rPr>
                  <w:rStyle w:val="Hyperlink"/>
                  <w:rFonts w:ascii="Calibri" w:hAnsi="Calibri" w:cs="Calibri"/>
                  <w:kern w:val="0"/>
                </w:rPr>
                <w:t>K230020</w:t>
              </w:r>
            </w:hyperlink>
          </w:p>
        </w:tc>
        <w:tc>
          <w:tcPr>
            <w:tcW w:w="1887" w:type="dxa"/>
            <w:noWrap/>
            <w:hideMark/>
          </w:tcPr>
          <w:p w14:paraId="427C8025"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3D4CD94B"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838E185"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49308BE6" w14:textId="77777777" w:rsidR="00A81135" w:rsidRPr="00A81135" w:rsidRDefault="00A81135">
            <w:pPr>
              <w:rPr>
                <w:rFonts w:ascii="Calibri" w:hAnsi="Calibri" w:cs="Calibri"/>
                <w:kern w:val="0"/>
              </w:rPr>
            </w:pPr>
            <w:r w:rsidRPr="00A81135">
              <w:rPr>
                <w:rFonts w:ascii="Calibri" w:hAnsi="Calibri" w:cs="Calibri"/>
                <w:kern w:val="0"/>
              </w:rPr>
              <w:t>QFM</w:t>
            </w:r>
          </w:p>
        </w:tc>
      </w:tr>
      <w:tr w:rsidR="00A81135" w:rsidRPr="00A81135" w14:paraId="1CC55C97" w14:textId="77777777" w:rsidTr="00A81135">
        <w:trPr>
          <w:trHeight w:val="300"/>
        </w:trPr>
        <w:tc>
          <w:tcPr>
            <w:tcW w:w="1365" w:type="dxa"/>
            <w:noWrap/>
            <w:hideMark/>
          </w:tcPr>
          <w:p w14:paraId="04D4DB72" w14:textId="77777777" w:rsidR="00A81135" w:rsidRPr="00A81135" w:rsidRDefault="00A81135">
            <w:pPr>
              <w:rPr>
                <w:rFonts w:ascii="Calibri" w:hAnsi="Calibri" w:cs="Calibri"/>
                <w:kern w:val="0"/>
              </w:rPr>
            </w:pPr>
            <w:r w:rsidRPr="00A81135">
              <w:rPr>
                <w:rFonts w:ascii="Calibri" w:hAnsi="Calibri" w:cs="Calibri"/>
                <w:kern w:val="0"/>
              </w:rPr>
              <w:t>12/05/2022</w:t>
            </w:r>
          </w:p>
        </w:tc>
        <w:tc>
          <w:tcPr>
            <w:tcW w:w="1279" w:type="dxa"/>
            <w:noWrap/>
            <w:hideMark/>
          </w:tcPr>
          <w:p w14:paraId="74F347A1" w14:textId="77777777" w:rsidR="00A81135" w:rsidRPr="00A81135" w:rsidRDefault="00C37C0C">
            <w:pPr>
              <w:rPr>
                <w:rFonts w:ascii="Calibri" w:hAnsi="Calibri" w:cs="Calibri"/>
                <w:kern w:val="0"/>
              </w:rPr>
            </w:pPr>
            <w:hyperlink r:id="rId11" w:tgtFrame="_parent" w:history="1">
              <w:r w:rsidR="00A81135" w:rsidRPr="00A81135">
                <w:rPr>
                  <w:rStyle w:val="Hyperlink"/>
                  <w:rFonts w:ascii="Calibri" w:hAnsi="Calibri" w:cs="Calibri"/>
                  <w:kern w:val="0"/>
                </w:rPr>
                <w:t>K222692</w:t>
              </w:r>
            </w:hyperlink>
          </w:p>
        </w:tc>
        <w:tc>
          <w:tcPr>
            <w:tcW w:w="1887" w:type="dxa"/>
            <w:noWrap/>
            <w:hideMark/>
          </w:tcPr>
          <w:p w14:paraId="340FD391"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5E3420B0"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10D6F6ED"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1CBA6A9" w14:textId="77777777" w:rsidR="00A81135" w:rsidRPr="00A81135" w:rsidRDefault="00A81135">
            <w:pPr>
              <w:rPr>
                <w:rFonts w:ascii="Calibri" w:hAnsi="Calibri" w:cs="Calibri"/>
                <w:kern w:val="0"/>
              </w:rPr>
            </w:pPr>
            <w:r w:rsidRPr="00A81135">
              <w:rPr>
                <w:rFonts w:ascii="Calibri" w:hAnsi="Calibri" w:cs="Calibri"/>
                <w:kern w:val="0"/>
              </w:rPr>
              <w:t>QFM</w:t>
            </w:r>
          </w:p>
        </w:tc>
      </w:tr>
      <w:tr w:rsidR="00A81135" w:rsidRPr="00A81135" w14:paraId="751F87C7" w14:textId="77777777" w:rsidTr="00A81135">
        <w:trPr>
          <w:trHeight w:val="300"/>
        </w:trPr>
        <w:tc>
          <w:tcPr>
            <w:tcW w:w="1365" w:type="dxa"/>
            <w:noWrap/>
            <w:hideMark/>
          </w:tcPr>
          <w:p w14:paraId="5A7DD35D" w14:textId="77777777" w:rsidR="00A81135" w:rsidRPr="00A81135" w:rsidRDefault="00A81135">
            <w:pPr>
              <w:rPr>
                <w:rFonts w:ascii="Calibri" w:hAnsi="Calibri" w:cs="Calibri"/>
                <w:kern w:val="0"/>
              </w:rPr>
            </w:pPr>
            <w:r w:rsidRPr="00A81135">
              <w:rPr>
                <w:rFonts w:ascii="Calibri" w:hAnsi="Calibri" w:cs="Calibri"/>
                <w:kern w:val="0"/>
              </w:rPr>
              <w:t>11/18/2022</w:t>
            </w:r>
          </w:p>
        </w:tc>
        <w:tc>
          <w:tcPr>
            <w:tcW w:w="1279" w:type="dxa"/>
            <w:noWrap/>
            <w:hideMark/>
          </w:tcPr>
          <w:p w14:paraId="28226DB4" w14:textId="77777777" w:rsidR="00A81135" w:rsidRPr="00A81135" w:rsidRDefault="00C37C0C">
            <w:pPr>
              <w:rPr>
                <w:rFonts w:ascii="Calibri" w:hAnsi="Calibri" w:cs="Calibri"/>
                <w:kern w:val="0"/>
              </w:rPr>
            </w:pPr>
            <w:hyperlink r:id="rId12" w:tgtFrame="_parent" w:history="1">
              <w:r w:rsidR="00A81135" w:rsidRPr="00A81135">
                <w:rPr>
                  <w:rStyle w:val="Hyperlink"/>
                  <w:rFonts w:ascii="Calibri" w:hAnsi="Calibri" w:cs="Calibri"/>
                  <w:kern w:val="0"/>
                </w:rPr>
                <w:t>K221330</w:t>
              </w:r>
            </w:hyperlink>
          </w:p>
        </w:tc>
        <w:tc>
          <w:tcPr>
            <w:tcW w:w="1887" w:type="dxa"/>
            <w:noWrap/>
            <w:hideMark/>
          </w:tcPr>
          <w:p w14:paraId="4BD760D7"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20AAF8C4"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5A1636D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141D1EF"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2C266678" w14:textId="77777777" w:rsidTr="00A81135">
        <w:trPr>
          <w:trHeight w:val="300"/>
        </w:trPr>
        <w:tc>
          <w:tcPr>
            <w:tcW w:w="1365" w:type="dxa"/>
            <w:noWrap/>
            <w:hideMark/>
          </w:tcPr>
          <w:p w14:paraId="55A8C1D9" w14:textId="77777777" w:rsidR="00A81135" w:rsidRPr="00A81135" w:rsidRDefault="00A81135">
            <w:pPr>
              <w:rPr>
                <w:rFonts w:ascii="Calibri" w:hAnsi="Calibri" w:cs="Calibri"/>
                <w:kern w:val="0"/>
              </w:rPr>
            </w:pPr>
            <w:r w:rsidRPr="00A81135">
              <w:rPr>
                <w:rFonts w:ascii="Calibri" w:hAnsi="Calibri" w:cs="Calibri"/>
                <w:kern w:val="0"/>
              </w:rPr>
              <w:t>10/07/2022</w:t>
            </w:r>
          </w:p>
        </w:tc>
        <w:tc>
          <w:tcPr>
            <w:tcW w:w="1279" w:type="dxa"/>
            <w:noWrap/>
            <w:hideMark/>
          </w:tcPr>
          <w:p w14:paraId="462172AE" w14:textId="77777777" w:rsidR="00A81135" w:rsidRPr="00A81135" w:rsidRDefault="00C37C0C">
            <w:pPr>
              <w:rPr>
                <w:rFonts w:ascii="Calibri" w:hAnsi="Calibri" w:cs="Calibri"/>
                <w:kern w:val="0"/>
              </w:rPr>
            </w:pPr>
            <w:hyperlink r:id="rId13" w:tgtFrame="_parent" w:history="1">
              <w:r w:rsidR="00A81135" w:rsidRPr="00A81135">
                <w:rPr>
                  <w:rStyle w:val="Hyperlink"/>
                  <w:rFonts w:ascii="Calibri" w:hAnsi="Calibri" w:cs="Calibri"/>
                  <w:kern w:val="0"/>
                </w:rPr>
                <w:t>K220709</w:t>
              </w:r>
            </w:hyperlink>
          </w:p>
        </w:tc>
        <w:tc>
          <w:tcPr>
            <w:tcW w:w="1887" w:type="dxa"/>
            <w:noWrap/>
            <w:hideMark/>
          </w:tcPr>
          <w:p w14:paraId="0C3956AE"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0EBF000B"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50716DA0"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A8785D8"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547FB8A4" w14:textId="77777777" w:rsidTr="00A81135">
        <w:trPr>
          <w:trHeight w:val="300"/>
        </w:trPr>
        <w:tc>
          <w:tcPr>
            <w:tcW w:w="1365" w:type="dxa"/>
            <w:noWrap/>
            <w:hideMark/>
          </w:tcPr>
          <w:p w14:paraId="5835C982" w14:textId="77777777" w:rsidR="00A81135" w:rsidRPr="00A81135" w:rsidRDefault="00A81135">
            <w:pPr>
              <w:rPr>
                <w:rFonts w:ascii="Calibri" w:hAnsi="Calibri" w:cs="Calibri"/>
                <w:kern w:val="0"/>
              </w:rPr>
            </w:pPr>
            <w:r w:rsidRPr="00A81135">
              <w:rPr>
                <w:rFonts w:ascii="Calibri" w:hAnsi="Calibri" w:cs="Calibri"/>
                <w:kern w:val="0"/>
              </w:rPr>
              <w:t>09/28/2022</w:t>
            </w:r>
          </w:p>
        </w:tc>
        <w:tc>
          <w:tcPr>
            <w:tcW w:w="1279" w:type="dxa"/>
            <w:noWrap/>
            <w:hideMark/>
          </w:tcPr>
          <w:p w14:paraId="228057BF" w14:textId="77777777" w:rsidR="00A81135" w:rsidRPr="00A81135" w:rsidRDefault="00C37C0C">
            <w:pPr>
              <w:rPr>
                <w:rFonts w:ascii="Calibri" w:hAnsi="Calibri" w:cs="Calibri"/>
                <w:kern w:val="0"/>
              </w:rPr>
            </w:pPr>
            <w:hyperlink r:id="rId14" w:tgtFrame="_parent" w:history="1">
              <w:r w:rsidR="00A81135" w:rsidRPr="00A81135">
                <w:rPr>
                  <w:rStyle w:val="Hyperlink"/>
                  <w:rFonts w:ascii="Calibri" w:hAnsi="Calibri" w:cs="Calibri"/>
                  <w:kern w:val="0"/>
                </w:rPr>
                <w:t>K222329</w:t>
              </w:r>
            </w:hyperlink>
          </w:p>
        </w:tc>
        <w:tc>
          <w:tcPr>
            <w:tcW w:w="1887" w:type="dxa"/>
            <w:noWrap/>
            <w:hideMark/>
          </w:tcPr>
          <w:p w14:paraId="30B2F3DC"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5C41FE9C"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6AD18FA5"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04809924"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190834AD" w14:textId="77777777" w:rsidTr="00A81135">
        <w:trPr>
          <w:trHeight w:val="300"/>
        </w:trPr>
        <w:tc>
          <w:tcPr>
            <w:tcW w:w="1365" w:type="dxa"/>
            <w:noWrap/>
            <w:hideMark/>
          </w:tcPr>
          <w:p w14:paraId="42DB5F1E" w14:textId="77777777" w:rsidR="00A81135" w:rsidRPr="00A81135" w:rsidRDefault="00A81135">
            <w:pPr>
              <w:rPr>
                <w:rFonts w:ascii="Calibri" w:hAnsi="Calibri" w:cs="Calibri"/>
                <w:kern w:val="0"/>
              </w:rPr>
            </w:pPr>
            <w:r w:rsidRPr="00A81135">
              <w:rPr>
                <w:rFonts w:ascii="Calibri" w:hAnsi="Calibri" w:cs="Calibri"/>
                <w:kern w:val="0"/>
              </w:rPr>
              <w:lastRenderedPageBreak/>
              <w:t>08/26/2022</w:t>
            </w:r>
          </w:p>
        </w:tc>
        <w:tc>
          <w:tcPr>
            <w:tcW w:w="1279" w:type="dxa"/>
            <w:noWrap/>
            <w:hideMark/>
          </w:tcPr>
          <w:p w14:paraId="74DCDF2E" w14:textId="77777777" w:rsidR="00A81135" w:rsidRPr="00A81135" w:rsidRDefault="00C37C0C">
            <w:pPr>
              <w:rPr>
                <w:rFonts w:ascii="Calibri" w:hAnsi="Calibri" w:cs="Calibri"/>
                <w:kern w:val="0"/>
              </w:rPr>
            </w:pPr>
            <w:hyperlink r:id="rId15" w:tgtFrame="_parent" w:history="1">
              <w:r w:rsidR="00A81135" w:rsidRPr="00A81135">
                <w:rPr>
                  <w:rStyle w:val="Hyperlink"/>
                  <w:rFonts w:ascii="Calibri" w:hAnsi="Calibri" w:cs="Calibri"/>
                  <w:kern w:val="0"/>
                </w:rPr>
                <w:t>K222277</w:t>
              </w:r>
            </w:hyperlink>
          </w:p>
        </w:tc>
        <w:tc>
          <w:tcPr>
            <w:tcW w:w="1887" w:type="dxa"/>
            <w:noWrap/>
            <w:hideMark/>
          </w:tcPr>
          <w:p w14:paraId="586AED62"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1921A43E"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3AA6979F"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41371F9"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69570900" w14:textId="77777777" w:rsidTr="00A81135">
        <w:trPr>
          <w:trHeight w:val="300"/>
        </w:trPr>
        <w:tc>
          <w:tcPr>
            <w:tcW w:w="1365" w:type="dxa"/>
            <w:noWrap/>
            <w:hideMark/>
          </w:tcPr>
          <w:p w14:paraId="6AD994CE" w14:textId="77777777" w:rsidR="00A81135" w:rsidRPr="00A81135" w:rsidRDefault="00A81135">
            <w:pPr>
              <w:rPr>
                <w:rFonts w:ascii="Calibri" w:hAnsi="Calibri" w:cs="Calibri"/>
                <w:kern w:val="0"/>
              </w:rPr>
            </w:pPr>
            <w:r w:rsidRPr="00A81135">
              <w:rPr>
                <w:rFonts w:ascii="Calibri" w:hAnsi="Calibri" w:cs="Calibri"/>
                <w:kern w:val="0"/>
              </w:rPr>
              <w:t>06/03/2022</w:t>
            </w:r>
          </w:p>
        </w:tc>
        <w:tc>
          <w:tcPr>
            <w:tcW w:w="1279" w:type="dxa"/>
            <w:noWrap/>
            <w:hideMark/>
          </w:tcPr>
          <w:p w14:paraId="382E9960" w14:textId="77777777" w:rsidR="00A81135" w:rsidRPr="00A81135" w:rsidRDefault="00C37C0C">
            <w:pPr>
              <w:rPr>
                <w:rFonts w:ascii="Calibri" w:hAnsi="Calibri" w:cs="Calibri"/>
                <w:kern w:val="0"/>
              </w:rPr>
            </w:pPr>
            <w:hyperlink r:id="rId16" w:tgtFrame="_parent" w:history="1">
              <w:r w:rsidR="00A81135" w:rsidRPr="00A81135">
                <w:rPr>
                  <w:rStyle w:val="Hyperlink"/>
                  <w:rFonts w:ascii="Calibri" w:hAnsi="Calibri" w:cs="Calibri"/>
                  <w:kern w:val="0"/>
                </w:rPr>
                <w:t>K221314</w:t>
              </w:r>
            </w:hyperlink>
          </w:p>
        </w:tc>
        <w:tc>
          <w:tcPr>
            <w:tcW w:w="1887" w:type="dxa"/>
            <w:noWrap/>
            <w:hideMark/>
          </w:tcPr>
          <w:p w14:paraId="6EBEB923"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25D15593"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6ACCA49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47D24968"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5ABCCA46" w14:textId="77777777" w:rsidTr="00A81135">
        <w:trPr>
          <w:trHeight w:val="300"/>
        </w:trPr>
        <w:tc>
          <w:tcPr>
            <w:tcW w:w="1365" w:type="dxa"/>
            <w:noWrap/>
            <w:hideMark/>
          </w:tcPr>
          <w:p w14:paraId="4B012642" w14:textId="77777777" w:rsidR="00A81135" w:rsidRPr="00A81135" w:rsidRDefault="00A81135">
            <w:pPr>
              <w:rPr>
                <w:rFonts w:ascii="Calibri" w:hAnsi="Calibri" w:cs="Calibri"/>
                <w:kern w:val="0"/>
              </w:rPr>
            </w:pPr>
            <w:r w:rsidRPr="00A81135">
              <w:rPr>
                <w:rFonts w:ascii="Calibri" w:hAnsi="Calibri" w:cs="Calibri"/>
                <w:kern w:val="0"/>
              </w:rPr>
              <w:t>05/17/2022</w:t>
            </w:r>
          </w:p>
        </w:tc>
        <w:tc>
          <w:tcPr>
            <w:tcW w:w="1279" w:type="dxa"/>
            <w:noWrap/>
            <w:hideMark/>
          </w:tcPr>
          <w:p w14:paraId="062582FA" w14:textId="77777777" w:rsidR="00A81135" w:rsidRPr="00A81135" w:rsidRDefault="00C37C0C">
            <w:pPr>
              <w:rPr>
                <w:rFonts w:ascii="Calibri" w:hAnsi="Calibri" w:cs="Calibri"/>
                <w:kern w:val="0"/>
              </w:rPr>
            </w:pPr>
            <w:hyperlink r:id="rId17" w:tgtFrame="_parent" w:history="1">
              <w:r w:rsidR="00A81135" w:rsidRPr="00A81135">
                <w:rPr>
                  <w:rStyle w:val="Hyperlink"/>
                  <w:rFonts w:ascii="Calibri" w:hAnsi="Calibri" w:cs="Calibri"/>
                  <w:kern w:val="0"/>
                </w:rPr>
                <w:t>K221240</w:t>
              </w:r>
            </w:hyperlink>
          </w:p>
        </w:tc>
        <w:tc>
          <w:tcPr>
            <w:tcW w:w="1887" w:type="dxa"/>
            <w:noWrap/>
            <w:hideMark/>
          </w:tcPr>
          <w:p w14:paraId="681E71DB"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7302D1DF"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E3A46C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CB945F0"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4545C05B" w14:textId="77777777" w:rsidTr="00A81135">
        <w:trPr>
          <w:trHeight w:val="300"/>
        </w:trPr>
        <w:tc>
          <w:tcPr>
            <w:tcW w:w="1365" w:type="dxa"/>
            <w:noWrap/>
            <w:hideMark/>
          </w:tcPr>
          <w:p w14:paraId="17A8C137" w14:textId="77777777" w:rsidR="00A81135" w:rsidRPr="00A81135" w:rsidRDefault="00A81135">
            <w:pPr>
              <w:rPr>
                <w:rFonts w:ascii="Calibri" w:hAnsi="Calibri" w:cs="Calibri"/>
                <w:kern w:val="0"/>
              </w:rPr>
            </w:pPr>
            <w:r w:rsidRPr="00A81135">
              <w:rPr>
                <w:rFonts w:ascii="Calibri" w:hAnsi="Calibri" w:cs="Calibri"/>
                <w:kern w:val="0"/>
              </w:rPr>
              <w:t>04/26/2022</w:t>
            </w:r>
          </w:p>
        </w:tc>
        <w:tc>
          <w:tcPr>
            <w:tcW w:w="1279" w:type="dxa"/>
            <w:noWrap/>
            <w:hideMark/>
          </w:tcPr>
          <w:p w14:paraId="40091008" w14:textId="77777777" w:rsidR="00A81135" w:rsidRPr="00A81135" w:rsidRDefault="00C37C0C">
            <w:pPr>
              <w:rPr>
                <w:rFonts w:ascii="Calibri" w:hAnsi="Calibri" w:cs="Calibri"/>
                <w:kern w:val="0"/>
              </w:rPr>
            </w:pPr>
            <w:hyperlink r:id="rId18" w:tgtFrame="_parent" w:history="1">
              <w:r w:rsidR="00A81135" w:rsidRPr="00A81135">
                <w:rPr>
                  <w:rStyle w:val="Hyperlink"/>
                  <w:rFonts w:ascii="Calibri" w:hAnsi="Calibri" w:cs="Calibri"/>
                  <w:kern w:val="0"/>
                </w:rPr>
                <w:t>K213886</w:t>
              </w:r>
            </w:hyperlink>
          </w:p>
        </w:tc>
        <w:tc>
          <w:tcPr>
            <w:tcW w:w="1887" w:type="dxa"/>
            <w:noWrap/>
            <w:hideMark/>
          </w:tcPr>
          <w:p w14:paraId="36B8CD76"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6AAEF770"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55578024"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18DBD9F8"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29072B3C" w14:textId="77777777" w:rsidTr="00A81135">
        <w:trPr>
          <w:trHeight w:val="300"/>
        </w:trPr>
        <w:tc>
          <w:tcPr>
            <w:tcW w:w="1365" w:type="dxa"/>
            <w:noWrap/>
            <w:hideMark/>
          </w:tcPr>
          <w:p w14:paraId="1FF144EB" w14:textId="77777777" w:rsidR="00A81135" w:rsidRPr="00A81135" w:rsidRDefault="00A81135">
            <w:pPr>
              <w:rPr>
                <w:rFonts w:ascii="Calibri" w:hAnsi="Calibri" w:cs="Calibri"/>
                <w:kern w:val="0"/>
              </w:rPr>
            </w:pPr>
            <w:r w:rsidRPr="00A81135">
              <w:rPr>
                <w:rFonts w:ascii="Calibri" w:hAnsi="Calibri" w:cs="Calibri"/>
                <w:kern w:val="0"/>
              </w:rPr>
              <w:t>03/21/2022</w:t>
            </w:r>
          </w:p>
        </w:tc>
        <w:tc>
          <w:tcPr>
            <w:tcW w:w="1279" w:type="dxa"/>
            <w:noWrap/>
            <w:hideMark/>
          </w:tcPr>
          <w:p w14:paraId="05EDA764" w14:textId="77777777" w:rsidR="00A81135" w:rsidRPr="00A81135" w:rsidRDefault="00C37C0C">
            <w:pPr>
              <w:rPr>
                <w:rFonts w:ascii="Calibri" w:hAnsi="Calibri" w:cs="Calibri"/>
                <w:kern w:val="0"/>
              </w:rPr>
            </w:pPr>
            <w:hyperlink r:id="rId19" w:tgtFrame="_parent" w:history="1">
              <w:r w:rsidR="00A81135" w:rsidRPr="00A81135">
                <w:rPr>
                  <w:rStyle w:val="Hyperlink"/>
                  <w:rFonts w:ascii="Calibri" w:hAnsi="Calibri" w:cs="Calibri"/>
                  <w:kern w:val="0"/>
                </w:rPr>
                <w:t>K213721</w:t>
              </w:r>
            </w:hyperlink>
          </w:p>
        </w:tc>
        <w:tc>
          <w:tcPr>
            <w:tcW w:w="1887" w:type="dxa"/>
            <w:noWrap/>
            <w:hideMark/>
          </w:tcPr>
          <w:p w14:paraId="093B6DC4"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47EEA1CA"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28C194F5"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57C34ED"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077BE191" w14:textId="77777777" w:rsidTr="00A81135">
        <w:trPr>
          <w:trHeight w:val="300"/>
        </w:trPr>
        <w:tc>
          <w:tcPr>
            <w:tcW w:w="1365" w:type="dxa"/>
            <w:noWrap/>
            <w:hideMark/>
          </w:tcPr>
          <w:p w14:paraId="13126D0C" w14:textId="77777777" w:rsidR="00A81135" w:rsidRPr="00A81135" w:rsidRDefault="00A81135">
            <w:pPr>
              <w:rPr>
                <w:rFonts w:ascii="Calibri" w:hAnsi="Calibri" w:cs="Calibri"/>
                <w:kern w:val="0"/>
              </w:rPr>
            </w:pPr>
            <w:r w:rsidRPr="00A81135">
              <w:rPr>
                <w:rFonts w:ascii="Calibri" w:hAnsi="Calibri" w:cs="Calibri"/>
                <w:kern w:val="0"/>
              </w:rPr>
              <w:t>03/14/2022</w:t>
            </w:r>
          </w:p>
        </w:tc>
        <w:tc>
          <w:tcPr>
            <w:tcW w:w="1279" w:type="dxa"/>
            <w:noWrap/>
            <w:hideMark/>
          </w:tcPr>
          <w:p w14:paraId="44EE2D71" w14:textId="77777777" w:rsidR="00A81135" w:rsidRPr="00A81135" w:rsidRDefault="00C37C0C">
            <w:pPr>
              <w:rPr>
                <w:rFonts w:ascii="Calibri" w:hAnsi="Calibri" w:cs="Calibri"/>
                <w:kern w:val="0"/>
              </w:rPr>
            </w:pPr>
            <w:hyperlink r:id="rId20" w:tgtFrame="_parent" w:history="1">
              <w:r w:rsidR="00A81135" w:rsidRPr="00A81135">
                <w:rPr>
                  <w:rStyle w:val="Hyperlink"/>
                  <w:rFonts w:ascii="Calibri" w:hAnsi="Calibri" w:cs="Calibri"/>
                  <w:kern w:val="0"/>
                </w:rPr>
                <w:t>K214043</w:t>
              </w:r>
            </w:hyperlink>
          </w:p>
        </w:tc>
        <w:tc>
          <w:tcPr>
            <w:tcW w:w="1887" w:type="dxa"/>
            <w:noWrap/>
            <w:hideMark/>
          </w:tcPr>
          <w:p w14:paraId="005217DB"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6869CAD4"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3D970F8B"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673C1844" w14:textId="77777777" w:rsidR="00A81135" w:rsidRPr="00A81135" w:rsidRDefault="00A81135">
            <w:pPr>
              <w:rPr>
                <w:rFonts w:ascii="Calibri" w:hAnsi="Calibri" w:cs="Calibri"/>
                <w:kern w:val="0"/>
              </w:rPr>
            </w:pPr>
            <w:r w:rsidRPr="00A81135">
              <w:rPr>
                <w:rFonts w:ascii="Calibri" w:hAnsi="Calibri" w:cs="Calibri"/>
                <w:kern w:val="0"/>
              </w:rPr>
              <w:t>QFM</w:t>
            </w:r>
          </w:p>
        </w:tc>
      </w:tr>
      <w:tr w:rsidR="00A81135" w:rsidRPr="00A81135" w14:paraId="13F9ADFA" w14:textId="77777777" w:rsidTr="00A81135">
        <w:trPr>
          <w:trHeight w:val="300"/>
        </w:trPr>
        <w:tc>
          <w:tcPr>
            <w:tcW w:w="1365" w:type="dxa"/>
            <w:noWrap/>
            <w:hideMark/>
          </w:tcPr>
          <w:p w14:paraId="36892AA1" w14:textId="77777777" w:rsidR="00A81135" w:rsidRPr="00A81135" w:rsidRDefault="00A81135">
            <w:pPr>
              <w:rPr>
                <w:rFonts w:ascii="Calibri" w:hAnsi="Calibri" w:cs="Calibri"/>
                <w:kern w:val="0"/>
              </w:rPr>
            </w:pPr>
            <w:r w:rsidRPr="00A81135">
              <w:rPr>
                <w:rFonts w:ascii="Calibri" w:hAnsi="Calibri" w:cs="Calibri"/>
                <w:kern w:val="0"/>
              </w:rPr>
              <w:t>04/14/2021</w:t>
            </w:r>
          </w:p>
        </w:tc>
        <w:tc>
          <w:tcPr>
            <w:tcW w:w="1279" w:type="dxa"/>
            <w:noWrap/>
            <w:hideMark/>
          </w:tcPr>
          <w:p w14:paraId="473529BF" w14:textId="77777777" w:rsidR="00A81135" w:rsidRPr="00A81135" w:rsidRDefault="00C37C0C">
            <w:pPr>
              <w:rPr>
                <w:rFonts w:ascii="Calibri" w:hAnsi="Calibri" w:cs="Calibri"/>
                <w:kern w:val="0"/>
              </w:rPr>
            </w:pPr>
            <w:hyperlink r:id="rId21" w:tgtFrame="_parent" w:history="1">
              <w:r w:rsidR="00A81135" w:rsidRPr="00A81135">
                <w:rPr>
                  <w:rStyle w:val="Hyperlink"/>
                  <w:rFonts w:ascii="Calibri" w:hAnsi="Calibri" w:cs="Calibri"/>
                  <w:kern w:val="0"/>
                </w:rPr>
                <w:t>K202992</w:t>
              </w:r>
            </w:hyperlink>
          </w:p>
        </w:tc>
        <w:tc>
          <w:tcPr>
            <w:tcW w:w="1887" w:type="dxa"/>
            <w:noWrap/>
            <w:hideMark/>
          </w:tcPr>
          <w:p w14:paraId="5D8F5442" w14:textId="77777777" w:rsidR="00A81135" w:rsidRPr="00A81135" w:rsidRDefault="00A81135">
            <w:pPr>
              <w:rPr>
                <w:rFonts w:ascii="Calibri" w:hAnsi="Calibri" w:cs="Calibri"/>
                <w:kern w:val="0"/>
              </w:rPr>
            </w:pPr>
            <w:r w:rsidRPr="00A81135">
              <w:rPr>
                <w:rFonts w:ascii="Calibri" w:hAnsi="Calibri" w:cs="Calibri"/>
                <w:kern w:val="0"/>
              </w:rPr>
              <w:t>BriefCase, RIB Fractures Triage (RibFx)</w:t>
            </w:r>
          </w:p>
        </w:tc>
        <w:tc>
          <w:tcPr>
            <w:tcW w:w="1199" w:type="dxa"/>
            <w:noWrap/>
            <w:hideMark/>
          </w:tcPr>
          <w:p w14:paraId="5EA059F1"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8A756F4"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56BFB7C4" w14:textId="77777777" w:rsidR="00A81135" w:rsidRPr="00A81135" w:rsidRDefault="00A81135">
            <w:pPr>
              <w:rPr>
                <w:rFonts w:ascii="Calibri" w:hAnsi="Calibri" w:cs="Calibri"/>
                <w:kern w:val="0"/>
              </w:rPr>
            </w:pPr>
            <w:r w:rsidRPr="00A81135">
              <w:rPr>
                <w:rFonts w:ascii="Calibri" w:hAnsi="Calibri" w:cs="Calibri"/>
                <w:kern w:val="0"/>
              </w:rPr>
              <w:t>QFM</w:t>
            </w:r>
          </w:p>
        </w:tc>
      </w:tr>
      <w:tr w:rsidR="00A81135" w:rsidRPr="00A81135" w14:paraId="1485A08A" w14:textId="77777777" w:rsidTr="00A81135">
        <w:trPr>
          <w:trHeight w:val="300"/>
        </w:trPr>
        <w:tc>
          <w:tcPr>
            <w:tcW w:w="1365" w:type="dxa"/>
            <w:noWrap/>
            <w:hideMark/>
          </w:tcPr>
          <w:p w14:paraId="6C940624" w14:textId="77777777" w:rsidR="00A81135" w:rsidRPr="00A81135" w:rsidRDefault="00A81135">
            <w:pPr>
              <w:rPr>
                <w:rFonts w:ascii="Calibri" w:hAnsi="Calibri" w:cs="Calibri"/>
                <w:kern w:val="0"/>
              </w:rPr>
            </w:pPr>
            <w:r w:rsidRPr="00A81135">
              <w:rPr>
                <w:rFonts w:ascii="Calibri" w:hAnsi="Calibri" w:cs="Calibri"/>
                <w:kern w:val="0"/>
              </w:rPr>
              <w:t>12/29/2020</w:t>
            </w:r>
          </w:p>
        </w:tc>
        <w:tc>
          <w:tcPr>
            <w:tcW w:w="1279" w:type="dxa"/>
            <w:noWrap/>
            <w:hideMark/>
          </w:tcPr>
          <w:p w14:paraId="05BC875F" w14:textId="77777777" w:rsidR="00A81135" w:rsidRPr="00A81135" w:rsidRDefault="00C37C0C">
            <w:pPr>
              <w:rPr>
                <w:rFonts w:ascii="Calibri" w:hAnsi="Calibri" w:cs="Calibri"/>
                <w:kern w:val="0"/>
              </w:rPr>
            </w:pPr>
            <w:hyperlink r:id="rId22" w:tgtFrame="_parent" w:history="1">
              <w:r w:rsidR="00A81135" w:rsidRPr="00A81135">
                <w:rPr>
                  <w:rStyle w:val="Hyperlink"/>
                  <w:rFonts w:ascii="Calibri" w:hAnsi="Calibri" w:cs="Calibri"/>
                  <w:kern w:val="0"/>
                </w:rPr>
                <w:t>K203508</w:t>
              </w:r>
            </w:hyperlink>
          </w:p>
        </w:tc>
        <w:tc>
          <w:tcPr>
            <w:tcW w:w="1887" w:type="dxa"/>
            <w:noWrap/>
            <w:hideMark/>
          </w:tcPr>
          <w:p w14:paraId="2CA1F764"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5C9C93CA"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7DDE8BC3"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5DA4C0CF"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2F7D1B73" w14:textId="77777777" w:rsidTr="00A81135">
        <w:trPr>
          <w:trHeight w:val="300"/>
        </w:trPr>
        <w:tc>
          <w:tcPr>
            <w:tcW w:w="1365" w:type="dxa"/>
            <w:noWrap/>
            <w:hideMark/>
          </w:tcPr>
          <w:p w14:paraId="656C91B7" w14:textId="77777777" w:rsidR="00A81135" w:rsidRPr="00A81135" w:rsidRDefault="00A81135">
            <w:pPr>
              <w:rPr>
                <w:rFonts w:ascii="Calibri" w:hAnsi="Calibri" w:cs="Calibri"/>
                <w:kern w:val="0"/>
              </w:rPr>
            </w:pPr>
            <w:r w:rsidRPr="00A81135">
              <w:rPr>
                <w:rFonts w:ascii="Calibri" w:hAnsi="Calibri" w:cs="Calibri"/>
                <w:kern w:val="0"/>
              </w:rPr>
              <w:t>08/26/2020</w:t>
            </w:r>
          </w:p>
        </w:tc>
        <w:tc>
          <w:tcPr>
            <w:tcW w:w="1279" w:type="dxa"/>
            <w:noWrap/>
            <w:hideMark/>
          </w:tcPr>
          <w:p w14:paraId="111F138B" w14:textId="77777777" w:rsidR="00A81135" w:rsidRPr="00A81135" w:rsidRDefault="00C37C0C">
            <w:pPr>
              <w:rPr>
                <w:rFonts w:ascii="Calibri" w:hAnsi="Calibri" w:cs="Calibri"/>
                <w:kern w:val="0"/>
              </w:rPr>
            </w:pPr>
            <w:hyperlink r:id="rId23" w:tgtFrame="_parent" w:history="1">
              <w:r w:rsidR="00A81135" w:rsidRPr="00A81135">
                <w:rPr>
                  <w:rStyle w:val="Hyperlink"/>
                  <w:rFonts w:ascii="Calibri" w:hAnsi="Calibri" w:cs="Calibri"/>
                  <w:kern w:val="0"/>
                </w:rPr>
                <w:t>K201020</w:t>
              </w:r>
            </w:hyperlink>
          </w:p>
        </w:tc>
        <w:tc>
          <w:tcPr>
            <w:tcW w:w="1887" w:type="dxa"/>
            <w:noWrap/>
            <w:hideMark/>
          </w:tcPr>
          <w:p w14:paraId="703D6AD9"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7F38FF3D"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8A4C377"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73EB9341"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786144FD" w14:textId="77777777" w:rsidTr="00A81135">
        <w:trPr>
          <w:trHeight w:val="300"/>
        </w:trPr>
        <w:tc>
          <w:tcPr>
            <w:tcW w:w="1365" w:type="dxa"/>
            <w:noWrap/>
            <w:hideMark/>
          </w:tcPr>
          <w:p w14:paraId="6D92E7E9" w14:textId="77777777" w:rsidR="00A81135" w:rsidRPr="00A81135" w:rsidRDefault="00A81135">
            <w:pPr>
              <w:rPr>
                <w:rFonts w:ascii="Calibri" w:hAnsi="Calibri" w:cs="Calibri"/>
                <w:kern w:val="0"/>
              </w:rPr>
            </w:pPr>
            <w:r w:rsidRPr="00A81135">
              <w:rPr>
                <w:rFonts w:ascii="Calibri" w:hAnsi="Calibri" w:cs="Calibri"/>
                <w:kern w:val="0"/>
              </w:rPr>
              <w:t>06/19/2020</w:t>
            </w:r>
          </w:p>
        </w:tc>
        <w:tc>
          <w:tcPr>
            <w:tcW w:w="1279" w:type="dxa"/>
            <w:noWrap/>
            <w:hideMark/>
          </w:tcPr>
          <w:p w14:paraId="37D7CD61" w14:textId="77777777" w:rsidR="00A81135" w:rsidRPr="00A81135" w:rsidRDefault="00C37C0C">
            <w:pPr>
              <w:rPr>
                <w:rFonts w:ascii="Calibri" w:hAnsi="Calibri" w:cs="Calibri"/>
                <w:kern w:val="0"/>
              </w:rPr>
            </w:pPr>
            <w:hyperlink r:id="rId24" w:tgtFrame="_parent" w:history="1">
              <w:r w:rsidR="00A81135" w:rsidRPr="00A81135">
                <w:rPr>
                  <w:rStyle w:val="Hyperlink"/>
                  <w:rFonts w:ascii="Calibri" w:hAnsi="Calibri" w:cs="Calibri"/>
                  <w:kern w:val="0"/>
                </w:rPr>
                <w:t>K193298</w:t>
              </w:r>
            </w:hyperlink>
          </w:p>
        </w:tc>
        <w:tc>
          <w:tcPr>
            <w:tcW w:w="1887" w:type="dxa"/>
            <w:noWrap/>
            <w:hideMark/>
          </w:tcPr>
          <w:p w14:paraId="6CEEE644"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2404AB5A"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622E5DDB"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27D3834F"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25E9AA58" w14:textId="77777777" w:rsidTr="00A81135">
        <w:trPr>
          <w:trHeight w:val="300"/>
        </w:trPr>
        <w:tc>
          <w:tcPr>
            <w:tcW w:w="1365" w:type="dxa"/>
            <w:noWrap/>
            <w:hideMark/>
          </w:tcPr>
          <w:p w14:paraId="46A08F34" w14:textId="77777777" w:rsidR="00A81135" w:rsidRPr="00A81135" w:rsidRDefault="00A81135">
            <w:pPr>
              <w:rPr>
                <w:rFonts w:ascii="Calibri" w:hAnsi="Calibri" w:cs="Calibri"/>
                <w:kern w:val="0"/>
              </w:rPr>
            </w:pPr>
            <w:r w:rsidRPr="00A81135">
              <w:rPr>
                <w:rFonts w:ascii="Calibri" w:hAnsi="Calibri" w:cs="Calibri"/>
                <w:kern w:val="0"/>
              </w:rPr>
              <w:t>12/20/2019</w:t>
            </w:r>
          </w:p>
        </w:tc>
        <w:tc>
          <w:tcPr>
            <w:tcW w:w="1279" w:type="dxa"/>
            <w:noWrap/>
            <w:hideMark/>
          </w:tcPr>
          <w:p w14:paraId="18A289F2" w14:textId="77777777" w:rsidR="00A81135" w:rsidRPr="00A81135" w:rsidRDefault="00C37C0C">
            <w:pPr>
              <w:rPr>
                <w:rFonts w:ascii="Calibri" w:hAnsi="Calibri" w:cs="Calibri"/>
                <w:kern w:val="0"/>
              </w:rPr>
            </w:pPr>
            <w:hyperlink r:id="rId25" w:tgtFrame="_parent" w:history="1">
              <w:r w:rsidR="00A81135" w:rsidRPr="00A81135">
                <w:rPr>
                  <w:rStyle w:val="Hyperlink"/>
                  <w:rFonts w:ascii="Calibri" w:hAnsi="Calibri" w:cs="Calibri"/>
                  <w:kern w:val="0"/>
                </w:rPr>
                <w:t>K192383</w:t>
              </w:r>
            </w:hyperlink>
          </w:p>
        </w:tc>
        <w:tc>
          <w:tcPr>
            <w:tcW w:w="1887" w:type="dxa"/>
            <w:noWrap/>
            <w:hideMark/>
          </w:tcPr>
          <w:p w14:paraId="2E92CA67"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506BA1D1"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4C2BA4F1"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41639F79"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7AD613C8" w14:textId="77777777" w:rsidTr="00A81135">
        <w:trPr>
          <w:trHeight w:val="300"/>
        </w:trPr>
        <w:tc>
          <w:tcPr>
            <w:tcW w:w="1365" w:type="dxa"/>
            <w:noWrap/>
            <w:hideMark/>
          </w:tcPr>
          <w:p w14:paraId="1038AD17" w14:textId="77777777" w:rsidR="00A81135" w:rsidRPr="00A81135" w:rsidRDefault="00A81135">
            <w:pPr>
              <w:rPr>
                <w:rFonts w:ascii="Calibri" w:hAnsi="Calibri" w:cs="Calibri"/>
                <w:kern w:val="0"/>
              </w:rPr>
            </w:pPr>
            <w:r w:rsidRPr="00A81135">
              <w:rPr>
                <w:rFonts w:ascii="Calibri" w:hAnsi="Calibri" w:cs="Calibri"/>
                <w:kern w:val="0"/>
              </w:rPr>
              <w:t>05/31/2019</w:t>
            </w:r>
          </w:p>
        </w:tc>
        <w:tc>
          <w:tcPr>
            <w:tcW w:w="1279" w:type="dxa"/>
            <w:noWrap/>
            <w:hideMark/>
          </w:tcPr>
          <w:p w14:paraId="69550AE4" w14:textId="77777777" w:rsidR="00A81135" w:rsidRPr="00A81135" w:rsidRDefault="00C37C0C">
            <w:pPr>
              <w:rPr>
                <w:rFonts w:ascii="Calibri" w:hAnsi="Calibri" w:cs="Calibri"/>
                <w:kern w:val="0"/>
              </w:rPr>
            </w:pPr>
            <w:hyperlink r:id="rId26" w:tgtFrame="_parent" w:history="1">
              <w:r w:rsidR="00A81135" w:rsidRPr="00A81135">
                <w:rPr>
                  <w:rStyle w:val="Hyperlink"/>
                  <w:rFonts w:ascii="Calibri" w:hAnsi="Calibri" w:cs="Calibri"/>
                  <w:kern w:val="0"/>
                </w:rPr>
                <w:t>K190896</w:t>
              </w:r>
            </w:hyperlink>
          </w:p>
        </w:tc>
        <w:tc>
          <w:tcPr>
            <w:tcW w:w="1887" w:type="dxa"/>
            <w:noWrap/>
            <w:hideMark/>
          </w:tcPr>
          <w:p w14:paraId="7E8FCE3A"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6DE77B82"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647A0E8E"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398D3FD1"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617065C3" w14:textId="77777777" w:rsidTr="00A81135">
        <w:trPr>
          <w:trHeight w:val="300"/>
        </w:trPr>
        <w:tc>
          <w:tcPr>
            <w:tcW w:w="1365" w:type="dxa"/>
            <w:noWrap/>
            <w:hideMark/>
          </w:tcPr>
          <w:p w14:paraId="01C1DE37" w14:textId="77777777" w:rsidR="00A81135" w:rsidRPr="00A81135" w:rsidRDefault="00A81135">
            <w:pPr>
              <w:rPr>
                <w:rFonts w:ascii="Calibri" w:hAnsi="Calibri" w:cs="Calibri"/>
                <w:kern w:val="0"/>
              </w:rPr>
            </w:pPr>
            <w:r w:rsidRPr="00A81135">
              <w:rPr>
                <w:rFonts w:ascii="Calibri" w:hAnsi="Calibri" w:cs="Calibri"/>
                <w:kern w:val="0"/>
              </w:rPr>
              <w:t>04/15/2019</w:t>
            </w:r>
          </w:p>
        </w:tc>
        <w:tc>
          <w:tcPr>
            <w:tcW w:w="1279" w:type="dxa"/>
            <w:noWrap/>
            <w:hideMark/>
          </w:tcPr>
          <w:p w14:paraId="05768F85" w14:textId="77777777" w:rsidR="00A81135" w:rsidRPr="00A81135" w:rsidRDefault="00C37C0C">
            <w:pPr>
              <w:rPr>
                <w:rFonts w:ascii="Calibri" w:hAnsi="Calibri" w:cs="Calibri"/>
                <w:kern w:val="0"/>
              </w:rPr>
            </w:pPr>
            <w:hyperlink r:id="rId27" w:tgtFrame="_parent" w:history="1">
              <w:r w:rsidR="00A81135" w:rsidRPr="00A81135">
                <w:rPr>
                  <w:rStyle w:val="Hyperlink"/>
                  <w:rFonts w:ascii="Calibri" w:hAnsi="Calibri" w:cs="Calibri"/>
                  <w:kern w:val="0"/>
                </w:rPr>
                <w:t>K190072</w:t>
              </w:r>
            </w:hyperlink>
          </w:p>
        </w:tc>
        <w:tc>
          <w:tcPr>
            <w:tcW w:w="1887" w:type="dxa"/>
            <w:noWrap/>
            <w:hideMark/>
          </w:tcPr>
          <w:p w14:paraId="306C82E3"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4DE61752"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0F197FB8"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6045663F" w14:textId="77777777" w:rsidR="00A81135" w:rsidRPr="00A81135" w:rsidRDefault="00A81135">
            <w:pPr>
              <w:rPr>
                <w:rFonts w:ascii="Calibri" w:hAnsi="Calibri" w:cs="Calibri"/>
                <w:kern w:val="0"/>
              </w:rPr>
            </w:pPr>
            <w:r w:rsidRPr="00A81135">
              <w:rPr>
                <w:rFonts w:ascii="Calibri" w:hAnsi="Calibri" w:cs="Calibri"/>
                <w:kern w:val="0"/>
              </w:rPr>
              <w:t>QAS</w:t>
            </w:r>
          </w:p>
        </w:tc>
      </w:tr>
      <w:tr w:rsidR="00A81135" w:rsidRPr="00A81135" w14:paraId="2F306349" w14:textId="77777777" w:rsidTr="00A81135">
        <w:trPr>
          <w:trHeight w:val="300"/>
        </w:trPr>
        <w:tc>
          <w:tcPr>
            <w:tcW w:w="1365" w:type="dxa"/>
            <w:noWrap/>
            <w:hideMark/>
          </w:tcPr>
          <w:p w14:paraId="2FFCD2BE" w14:textId="77777777" w:rsidR="00A81135" w:rsidRPr="00A81135" w:rsidRDefault="00A81135">
            <w:pPr>
              <w:rPr>
                <w:rFonts w:ascii="Calibri" w:hAnsi="Calibri" w:cs="Calibri"/>
                <w:kern w:val="0"/>
              </w:rPr>
            </w:pPr>
            <w:r w:rsidRPr="00A81135">
              <w:rPr>
                <w:rFonts w:ascii="Calibri" w:hAnsi="Calibri" w:cs="Calibri"/>
                <w:kern w:val="0"/>
              </w:rPr>
              <w:t>08/01/2018</w:t>
            </w:r>
          </w:p>
        </w:tc>
        <w:tc>
          <w:tcPr>
            <w:tcW w:w="1279" w:type="dxa"/>
            <w:noWrap/>
            <w:hideMark/>
          </w:tcPr>
          <w:p w14:paraId="112D81E4" w14:textId="77777777" w:rsidR="00A81135" w:rsidRPr="00A81135" w:rsidRDefault="00C37C0C">
            <w:pPr>
              <w:rPr>
                <w:rFonts w:ascii="Calibri" w:hAnsi="Calibri" w:cs="Calibri"/>
                <w:kern w:val="0"/>
              </w:rPr>
            </w:pPr>
            <w:hyperlink r:id="rId28" w:tgtFrame="_parent" w:history="1">
              <w:r w:rsidR="00A81135" w:rsidRPr="00A81135">
                <w:rPr>
                  <w:rStyle w:val="Hyperlink"/>
                  <w:rFonts w:ascii="Calibri" w:hAnsi="Calibri" w:cs="Calibri"/>
                  <w:kern w:val="0"/>
                </w:rPr>
                <w:t>K180647</w:t>
              </w:r>
            </w:hyperlink>
          </w:p>
        </w:tc>
        <w:tc>
          <w:tcPr>
            <w:tcW w:w="1887" w:type="dxa"/>
            <w:noWrap/>
            <w:hideMark/>
          </w:tcPr>
          <w:p w14:paraId="19DCCA84" w14:textId="77777777" w:rsidR="00A81135" w:rsidRPr="00A81135" w:rsidRDefault="00A81135">
            <w:pPr>
              <w:rPr>
                <w:rFonts w:ascii="Calibri" w:hAnsi="Calibri" w:cs="Calibri"/>
                <w:kern w:val="0"/>
              </w:rPr>
            </w:pPr>
            <w:r w:rsidRPr="00A81135">
              <w:rPr>
                <w:rFonts w:ascii="Calibri" w:hAnsi="Calibri" w:cs="Calibri"/>
                <w:kern w:val="0"/>
              </w:rPr>
              <w:t>BriefCase</w:t>
            </w:r>
          </w:p>
        </w:tc>
        <w:tc>
          <w:tcPr>
            <w:tcW w:w="1199" w:type="dxa"/>
            <w:noWrap/>
            <w:hideMark/>
          </w:tcPr>
          <w:p w14:paraId="4651F6C1" w14:textId="77777777" w:rsidR="00A81135" w:rsidRPr="00A81135" w:rsidRDefault="00A81135">
            <w:pPr>
              <w:rPr>
                <w:rFonts w:ascii="Calibri" w:hAnsi="Calibri" w:cs="Calibri"/>
                <w:kern w:val="0"/>
              </w:rPr>
            </w:pPr>
            <w:r w:rsidRPr="00A81135">
              <w:rPr>
                <w:rFonts w:ascii="Calibri" w:hAnsi="Calibri" w:cs="Calibri"/>
                <w:kern w:val="0"/>
              </w:rPr>
              <w:t>Aidoc Medical, Ltd.</w:t>
            </w:r>
          </w:p>
        </w:tc>
        <w:tc>
          <w:tcPr>
            <w:tcW w:w="844" w:type="dxa"/>
            <w:noWrap/>
            <w:hideMark/>
          </w:tcPr>
          <w:p w14:paraId="51742AEB" w14:textId="77777777" w:rsidR="00A81135" w:rsidRPr="00A81135" w:rsidRDefault="00A81135">
            <w:pPr>
              <w:rPr>
                <w:rFonts w:ascii="Calibri" w:hAnsi="Calibri" w:cs="Calibri"/>
                <w:kern w:val="0"/>
              </w:rPr>
            </w:pPr>
            <w:r w:rsidRPr="00A81135">
              <w:rPr>
                <w:rFonts w:ascii="Calibri" w:hAnsi="Calibri" w:cs="Calibri"/>
                <w:kern w:val="0"/>
              </w:rPr>
              <w:t>Radiology</w:t>
            </w:r>
          </w:p>
        </w:tc>
        <w:tc>
          <w:tcPr>
            <w:tcW w:w="1378" w:type="dxa"/>
            <w:noWrap/>
            <w:hideMark/>
          </w:tcPr>
          <w:p w14:paraId="709F6D48" w14:textId="77777777" w:rsidR="00A81135" w:rsidRPr="00A81135" w:rsidRDefault="00A81135">
            <w:pPr>
              <w:rPr>
                <w:rFonts w:ascii="Calibri" w:hAnsi="Calibri" w:cs="Calibri"/>
                <w:kern w:val="0"/>
              </w:rPr>
            </w:pPr>
            <w:r w:rsidRPr="00A81135">
              <w:rPr>
                <w:rFonts w:ascii="Calibri" w:hAnsi="Calibri" w:cs="Calibri"/>
                <w:kern w:val="0"/>
              </w:rPr>
              <w:t>QAS</w:t>
            </w:r>
          </w:p>
        </w:tc>
      </w:tr>
    </w:tbl>
    <w:p w14:paraId="0C0815F3" w14:textId="7F9F7716" w:rsidR="006C2DDB" w:rsidRDefault="006C2DDB" w:rsidP="00BF3671">
      <w:pPr>
        <w:rPr>
          <w:rFonts w:ascii="Calibri" w:hAnsi="Calibri" w:cs="Calibri"/>
          <w:kern w:val="0"/>
        </w:rPr>
      </w:pPr>
    </w:p>
    <w:p w14:paraId="6520EB15" w14:textId="77777777" w:rsidR="00C52051" w:rsidRDefault="00C52051" w:rsidP="00BF3671">
      <w:pPr>
        <w:rPr>
          <w:rFonts w:ascii="Calibri" w:hAnsi="Calibri" w:cs="Calibri"/>
          <w:kern w:val="0"/>
        </w:rPr>
      </w:pPr>
    </w:p>
    <w:p w14:paraId="5BD4B419" w14:textId="77777777" w:rsidR="00C52051" w:rsidRPr="0075113C" w:rsidRDefault="00C52051" w:rsidP="00BF3671">
      <w:pPr>
        <w:rPr>
          <w:rFonts w:ascii="Calibri" w:hAnsi="Calibri" w:cs="Calibri"/>
          <w:kern w:val="0"/>
        </w:rPr>
      </w:pPr>
    </w:p>
    <w:p w14:paraId="4D5BEA1C" w14:textId="0CB9E9BA" w:rsidR="00BF3671" w:rsidRDefault="008B192B" w:rsidP="00BF3671">
      <w:pPr>
        <w:rPr>
          <w:rFonts w:ascii="Calibri" w:hAnsi="Calibri" w:cs="Calibri"/>
          <w:kern w:val="0"/>
        </w:rPr>
      </w:pPr>
      <w:r>
        <w:rPr>
          <w:rFonts w:ascii="Calibri" w:hAnsi="Calibri" w:cs="Calibri" w:hint="eastAsia"/>
          <w:kern w:val="0"/>
        </w:rPr>
        <w:lastRenderedPageBreak/>
        <w:t>2</w:t>
      </w:r>
      <w:r w:rsidR="00BF3671" w:rsidRPr="0075113C">
        <w:rPr>
          <w:rFonts w:ascii="Calibri" w:hAnsi="Calibri" w:cs="Calibri"/>
          <w:kern w:val="0"/>
        </w:rPr>
        <w:t>. Clinical Use and Impact:</w:t>
      </w:r>
    </w:p>
    <w:p w14:paraId="2AE88E96" w14:textId="1E10CCA3" w:rsidR="002C761A" w:rsidRDefault="00642681" w:rsidP="00BF3671">
      <w:pPr>
        <w:rPr>
          <w:rFonts w:ascii="Calibri" w:hAnsi="Calibri" w:cs="Calibri"/>
          <w:kern w:val="0"/>
        </w:rPr>
      </w:pPr>
      <w:r w:rsidRPr="00642681">
        <w:rPr>
          <w:rFonts w:ascii="Calibri" w:hAnsi="Calibri" w:cs="Calibri"/>
          <w:kern w:val="0"/>
        </w:rPr>
        <w:t>"Deep learning algorithm in detecting intracranial hemorrhages on emergency computed tomographies"</w:t>
      </w:r>
      <w:r w:rsidR="00631E53">
        <w:rPr>
          <w:rFonts w:ascii="Calibri" w:hAnsi="Calibri" w:cs="Calibri" w:hint="eastAsia"/>
          <w:kern w:val="0"/>
        </w:rPr>
        <w:t xml:space="preserve"> </w:t>
      </w:r>
      <w:r w:rsidR="00DB623F" w:rsidRPr="00DB623F">
        <w:rPr>
          <w:rFonts w:ascii="Calibri" w:hAnsi="Calibri" w:cs="Calibri"/>
          <w:i/>
          <w:iCs/>
          <w:kern w:val="0"/>
        </w:rPr>
        <w:t>PloS one</w:t>
      </w:r>
      <w:r w:rsidR="00DB623F" w:rsidRPr="00DB623F">
        <w:rPr>
          <w:rFonts w:ascii="Calibri" w:hAnsi="Calibri" w:cs="Calibri" w:hint="eastAsia"/>
          <w:kern w:val="0"/>
        </w:rPr>
        <w:t xml:space="preserve">, </w:t>
      </w:r>
      <w:r w:rsidR="00631E53" w:rsidRPr="00631E53">
        <w:rPr>
          <w:rFonts w:ascii="Calibri" w:hAnsi="Calibri" w:cs="Calibri"/>
          <w:kern w:val="0"/>
        </w:rPr>
        <w:t>2021</w:t>
      </w:r>
      <w:r w:rsidR="0086537C">
        <w:rPr>
          <w:rFonts w:ascii="Calibri" w:hAnsi="Calibri" w:cs="Calibri" w:hint="eastAsia"/>
          <w:kern w:val="0"/>
        </w:rPr>
        <w:t xml:space="preserve"> </w:t>
      </w:r>
      <w:r w:rsidR="0086537C" w:rsidRPr="0086537C">
        <w:rPr>
          <w:rFonts w:ascii="Calibri" w:hAnsi="Calibri" w:cs="Calibri"/>
          <w:kern w:val="0"/>
        </w:rPr>
        <w:t>November</w:t>
      </w:r>
      <w:r w:rsidR="0086537C">
        <w:rPr>
          <w:rFonts w:ascii="Calibri" w:hAnsi="Calibri" w:cs="Calibri" w:hint="eastAsia"/>
          <w:kern w:val="0"/>
        </w:rPr>
        <w:t xml:space="preserve"> (</w:t>
      </w:r>
      <w:hyperlink r:id="rId29" w:history="1">
        <w:r w:rsidR="009427F5" w:rsidRPr="0005151C">
          <w:rPr>
            <w:rStyle w:val="Hyperlink"/>
            <w:rFonts w:ascii="Calibri" w:hAnsi="Calibri" w:cs="Calibri"/>
            <w:kern w:val="0"/>
          </w:rPr>
          <w:t>https://journals.plos.org/plosone/article?id=10.1371/journal.pone.0260560</w:t>
        </w:r>
      </w:hyperlink>
      <w:r w:rsidR="0086537C">
        <w:rPr>
          <w:rFonts w:ascii="Calibri" w:hAnsi="Calibri" w:cs="Calibri" w:hint="eastAsia"/>
          <w:kern w:val="0"/>
        </w:rPr>
        <w:t>)</w:t>
      </w:r>
    </w:p>
    <w:p w14:paraId="06EBE68A" w14:textId="77777777" w:rsidR="002C761A" w:rsidRPr="0075113C" w:rsidRDefault="002C761A" w:rsidP="00BF3671">
      <w:pPr>
        <w:rPr>
          <w:rFonts w:ascii="Calibri" w:hAnsi="Calibri" w:cs="Calibri"/>
          <w:kern w:val="0"/>
        </w:rPr>
      </w:pPr>
    </w:p>
    <w:p w14:paraId="5A311BCC" w14:textId="5DB1A7DB" w:rsidR="00BF3671" w:rsidRDefault="00BF3671" w:rsidP="00BF3671">
      <w:pPr>
        <w:rPr>
          <w:rFonts w:ascii="Calibri" w:hAnsi="Calibri" w:cs="Calibri"/>
          <w:kern w:val="0"/>
        </w:rPr>
      </w:pPr>
      <w:r w:rsidRPr="0075113C">
        <w:rPr>
          <w:rFonts w:ascii="Calibri" w:hAnsi="Calibri" w:cs="Calibri"/>
          <w:kern w:val="0"/>
        </w:rPr>
        <w:t>"</w:t>
      </w:r>
      <w:r w:rsidR="00D51225" w:rsidRPr="0075113C">
        <w:rPr>
          <w:rFonts w:ascii="Calibri" w:hAnsi="Calibri" w:cs="Calibri"/>
          <w:kern w:val="0"/>
        </w:rPr>
        <w:t>A Prospective Randomized Clinical Trial for Measuring Radiology Study Reporting Time on Artificial Intelligence-Based Detection of Intracranial Hemorrhage in Emergent Care Head CT</w:t>
      </w:r>
      <w:r w:rsidRPr="0075113C">
        <w:rPr>
          <w:rFonts w:ascii="Calibri" w:hAnsi="Calibri" w:cs="Calibri"/>
          <w:kern w:val="0"/>
        </w:rPr>
        <w:t>"</w:t>
      </w:r>
      <w:r w:rsidR="00B36F0B" w:rsidRPr="0075113C">
        <w:rPr>
          <w:rFonts w:ascii="Calibri" w:hAnsi="Calibri" w:cs="Calibri"/>
        </w:rPr>
        <w:t xml:space="preserve"> </w:t>
      </w:r>
      <w:r w:rsidR="00B36F0B" w:rsidRPr="0075113C">
        <w:rPr>
          <w:rFonts w:ascii="Calibri" w:hAnsi="Calibri" w:cs="Calibri"/>
          <w:kern w:val="0"/>
        </w:rPr>
        <w:t>Progress in Biomedical Optics and Imaging - Proceedings of SPIE, 2020</w:t>
      </w:r>
      <w:r w:rsidRPr="0075113C">
        <w:rPr>
          <w:rFonts w:ascii="Calibri" w:hAnsi="Calibri" w:cs="Calibri"/>
          <w:kern w:val="0"/>
        </w:rPr>
        <w:t>. (</w:t>
      </w:r>
      <w:r w:rsidR="006903B5" w:rsidRPr="0075113C">
        <w:rPr>
          <w:rFonts w:ascii="Calibri" w:hAnsi="Calibri" w:cs="Calibri"/>
        </w:rPr>
        <w:t xml:space="preserve"> </w:t>
      </w:r>
      <w:hyperlink r:id="rId30" w:anchor="_=_" w:history="1">
        <w:r w:rsidR="009427F5" w:rsidRPr="0005151C">
          <w:rPr>
            <w:rStyle w:val="Hyperlink"/>
            <w:rFonts w:ascii="Calibri" w:hAnsi="Calibri" w:cs="Calibri"/>
            <w:kern w:val="0"/>
          </w:rPr>
          <w:t>https://www-spiedigitallibrary-org.wwwproxy1.library.unsw.edu.au/conference-proceedings-of-spie/11317/2552400/A-prospective-randomized-clinical-trial-for-measuring-radiology-study-reporting/10.1117/12.2552400.full#_=_</w:t>
        </w:r>
      </w:hyperlink>
      <w:r w:rsidRPr="0075113C">
        <w:rPr>
          <w:rFonts w:ascii="Calibri" w:hAnsi="Calibri" w:cs="Calibri"/>
          <w:kern w:val="0"/>
        </w:rPr>
        <w:t>)</w:t>
      </w:r>
    </w:p>
    <w:p w14:paraId="5B15A11C" w14:textId="77777777" w:rsidR="009427F5" w:rsidRPr="0075113C" w:rsidRDefault="009427F5" w:rsidP="00BF3671">
      <w:pPr>
        <w:rPr>
          <w:rFonts w:ascii="Calibri" w:hAnsi="Calibri" w:cs="Calibri"/>
          <w:kern w:val="0"/>
        </w:rPr>
      </w:pPr>
    </w:p>
    <w:p w14:paraId="290442F8" w14:textId="5E7CCA91" w:rsidR="00BF3671" w:rsidRDefault="00BF3671" w:rsidP="00BF3671">
      <w:pPr>
        <w:rPr>
          <w:rFonts w:ascii="Calibri" w:hAnsi="Calibri" w:cs="Calibri"/>
          <w:kern w:val="0"/>
        </w:rPr>
      </w:pPr>
      <w:r w:rsidRPr="0075113C">
        <w:rPr>
          <w:rFonts w:ascii="Calibri" w:hAnsi="Calibri" w:cs="Calibri"/>
          <w:kern w:val="0"/>
        </w:rPr>
        <w:t>"</w:t>
      </w:r>
      <w:r w:rsidR="00976C44" w:rsidRPr="0075113C">
        <w:rPr>
          <w:rFonts w:ascii="Calibri" w:hAnsi="Calibri" w:cs="Calibri"/>
          <w:kern w:val="0"/>
        </w:rPr>
        <w:t>The impact on clinical outcomes after 1 year of implementation of an artificial intelligence solution for the detection of intracranial hemorrhage</w:t>
      </w:r>
      <w:r w:rsidRPr="0075113C">
        <w:rPr>
          <w:rFonts w:ascii="Calibri" w:hAnsi="Calibri" w:cs="Calibri"/>
          <w:kern w:val="0"/>
        </w:rPr>
        <w:t>"</w:t>
      </w:r>
      <w:r w:rsidR="007B49F7" w:rsidRPr="0075113C">
        <w:rPr>
          <w:rFonts w:ascii="Calibri" w:hAnsi="Calibri" w:cs="Calibri"/>
        </w:rPr>
        <w:t xml:space="preserve"> </w:t>
      </w:r>
      <w:r w:rsidR="007B49F7" w:rsidRPr="0075113C">
        <w:rPr>
          <w:rFonts w:ascii="Calibri" w:hAnsi="Calibri" w:cs="Calibri"/>
          <w:i/>
          <w:iCs/>
          <w:kern w:val="0"/>
        </w:rPr>
        <w:t>International Journal of Emergency Medicine</w:t>
      </w:r>
      <w:r w:rsidR="00445251" w:rsidRPr="0075113C">
        <w:rPr>
          <w:rFonts w:ascii="Calibri" w:hAnsi="Calibri" w:cs="Calibri"/>
          <w:i/>
          <w:iCs/>
          <w:kern w:val="0"/>
        </w:rPr>
        <w:t>,</w:t>
      </w:r>
      <w:r w:rsidRPr="0075113C">
        <w:rPr>
          <w:rFonts w:ascii="Calibri" w:hAnsi="Calibri" w:cs="Calibri"/>
          <w:kern w:val="0"/>
        </w:rPr>
        <w:t xml:space="preserve"> </w:t>
      </w:r>
      <w:r w:rsidR="00723EAC" w:rsidRPr="0075113C">
        <w:rPr>
          <w:rFonts w:ascii="Calibri" w:hAnsi="Calibri" w:cs="Calibri"/>
          <w:kern w:val="0"/>
        </w:rPr>
        <w:t>2023</w:t>
      </w:r>
      <w:r w:rsidRPr="0075113C">
        <w:rPr>
          <w:rFonts w:ascii="Calibri" w:hAnsi="Calibri" w:cs="Calibri"/>
          <w:kern w:val="0"/>
        </w:rPr>
        <w:t>. [</w:t>
      </w:r>
      <w:r w:rsidR="000213C2" w:rsidRPr="0075113C">
        <w:rPr>
          <w:rFonts w:ascii="Calibri" w:hAnsi="Calibri" w:cs="Calibri"/>
          <w:kern w:val="0"/>
        </w:rPr>
        <w:t>BMC</w:t>
      </w:r>
      <w:r w:rsidRPr="0075113C">
        <w:rPr>
          <w:rFonts w:ascii="Calibri" w:hAnsi="Calibri" w:cs="Calibri"/>
          <w:kern w:val="0"/>
        </w:rPr>
        <w:t>](</w:t>
      </w:r>
      <w:hyperlink r:id="rId31" w:history="1">
        <w:r w:rsidR="009427F5" w:rsidRPr="0005151C">
          <w:rPr>
            <w:rStyle w:val="Hyperlink"/>
            <w:rFonts w:ascii="Calibri" w:hAnsi="Calibri" w:cs="Calibri"/>
            <w:kern w:val="0"/>
          </w:rPr>
          <w:t>https://intjem.biomedcentral.com/articles/10.1186/s12245-023-00523-y</w:t>
        </w:r>
      </w:hyperlink>
      <w:r w:rsidRPr="0075113C">
        <w:rPr>
          <w:rFonts w:ascii="Calibri" w:hAnsi="Calibri" w:cs="Calibri"/>
          <w:kern w:val="0"/>
        </w:rPr>
        <w:t>)</w:t>
      </w:r>
    </w:p>
    <w:p w14:paraId="2389E01D" w14:textId="77777777" w:rsidR="00BF3671" w:rsidRPr="0075113C" w:rsidRDefault="00BF3671" w:rsidP="00BF3671">
      <w:pPr>
        <w:rPr>
          <w:rFonts w:ascii="Calibri" w:hAnsi="Calibri" w:cs="Calibri"/>
          <w:kern w:val="0"/>
        </w:rPr>
      </w:pPr>
    </w:p>
    <w:p w14:paraId="7B677EF7" w14:textId="15F6C663" w:rsidR="00BF3671" w:rsidRPr="0075113C" w:rsidRDefault="008B192B" w:rsidP="00BF3671">
      <w:pPr>
        <w:rPr>
          <w:rFonts w:ascii="Calibri" w:hAnsi="Calibri" w:cs="Calibri"/>
          <w:kern w:val="0"/>
        </w:rPr>
      </w:pPr>
      <w:r>
        <w:rPr>
          <w:rFonts w:ascii="Calibri" w:hAnsi="Calibri" w:cs="Calibri" w:hint="eastAsia"/>
          <w:kern w:val="0"/>
        </w:rPr>
        <w:t>3</w:t>
      </w:r>
      <w:r w:rsidR="00BF3671" w:rsidRPr="0075113C">
        <w:rPr>
          <w:rFonts w:ascii="Calibri" w:hAnsi="Calibri" w:cs="Calibri"/>
          <w:kern w:val="0"/>
        </w:rPr>
        <w:t>. Review Articles:</w:t>
      </w:r>
    </w:p>
    <w:p w14:paraId="4C7EC00B" w14:textId="6BAD688A" w:rsidR="00BF3671" w:rsidRDefault="00BF3671" w:rsidP="00BF3671">
      <w:pPr>
        <w:rPr>
          <w:rFonts w:ascii="Calibri" w:hAnsi="Calibri" w:cs="Calibri"/>
          <w:kern w:val="0"/>
        </w:rPr>
      </w:pPr>
      <w:r w:rsidRPr="0075113C">
        <w:rPr>
          <w:rFonts w:ascii="Calibri" w:hAnsi="Calibri" w:cs="Calibri"/>
          <w:kern w:val="0"/>
        </w:rPr>
        <w:t>"</w:t>
      </w:r>
      <w:r w:rsidR="000F5A07" w:rsidRPr="0075113C">
        <w:rPr>
          <w:rFonts w:ascii="Calibri" w:hAnsi="Calibri" w:cs="Calibri"/>
          <w:kern w:val="0"/>
        </w:rPr>
        <w:t>Artificial Intelligence and Acute Stroke Imaging</w:t>
      </w:r>
      <w:r w:rsidRPr="0075113C">
        <w:rPr>
          <w:rFonts w:ascii="Calibri" w:hAnsi="Calibri" w:cs="Calibri"/>
          <w:kern w:val="0"/>
        </w:rPr>
        <w:t xml:space="preserve">" </w:t>
      </w:r>
      <w:r w:rsidR="00867A8C" w:rsidRPr="0075113C">
        <w:rPr>
          <w:rFonts w:ascii="Calibri" w:hAnsi="Calibri" w:cs="Calibri"/>
          <w:i/>
          <w:iCs/>
          <w:kern w:val="0"/>
        </w:rPr>
        <w:t>AJNR</w:t>
      </w:r>
      <w:r w:rsidR="00445251" w:rsidRPr="0075113C">
        <w:rPr>
          <w:rFonts w:ascii="Calibri" w:hAnsi="Calibri" w:cs="Calibri"/>
          <w:kern w:val="0"/>
        </w:rPr>
        <w:t>,</w:t>
      </w:r>
      <w:r w:rsidR="00867A8C" w:rsidRPr="0075113C">
        <w:rPr>
          <w:rFonts w:ascii="Calibri" w:hAnsi="Calibri" w:cs="Calibri"/>
          <w:kern w:val="0"/>
        </w:rPr>
        <w:t xml:space="preserve"> 2021 Jan </w:t>
      </w:r>
      <w:r w:rsidRPr="0075113C">
        <w:rPr>
          <w:rFonts w:ascii="Calibri" w:hAnsi="Calibri" w:cs="Calibri"/>
          <w:kern w:val="0"/>
        </w:rPr>
        <w:t>[PubMed](</w:t>
      </w:r>
      <w:hyperlink r:id="rId32" w:anchor=":~:text=Artificial%20intelligence%20can%20help%20with,CT%20Score%20grading%2C%20and%20prognostication" w:history="1">
        <w:r w:rsidR="009427F5" w:rsidRPr="0005151C">
          <w:rPr>
            <w:rStyle w:val="Hyperlink"/>
            <w:rFonts w:ascii="Calibri" w:hAnsi="Calibri" w:cs="Calibri"/>
            <w:kern w:val="0"/>
          </w:rPr>
          <w:t>https://www.ncbi.nlm.nih.gov/pmc/articles/PMC7814792/#:~:text=Artificial%20intelligence%20can%20help%20with,CT%20Score%20grading%2C%20and%20prognostication</w:t>
        </w:r>
      </w:hyperlink>
      <w:r w:rsidRPr="0075113C">
        <w:rPr>
          <w:rFonts w:ascii="Calibri" w:hAnsi="Calibri" w:cs="Calibri"/>
          <w:kern w:val="0"/>
        </w:rPr>
        <w:t>)</w:t>
      </w:r>
    </w:p>
    <w:p w14:paraId="5C00B69A" w14:textId="77777777" w:rsidR="009427F5" w:rsidRPr="0075113C" w:rsidRDefault="009427F5" w:rsidP="00BF3671">
      <w:pPr>
        <w:rPr>
          <w:rFonts w:ascii="Calibri" w:hAnsi="Calibri" w:cs="Calibri"/>
          <w:kern w:val="0"/>
        </w:rPr>
      </w:pPr>
    </w:p>
    <w:p w14:paraId="359A38A5" w14:textId="461A07F6" w:rsidR="00BF3671" w:rsidRDefault="00BF3671" w:rsidP="00BF3671">
      <w:pPr>
        <w:rPr>
          <w:rFonts w:ascii="Calibri" w:hAnsi="Calibri" w:cs="Calibri"/>
          <w:kern w:val="0"/>
        </w:rPr>
      </w:pPr>
      <w:r w:rsidRPr="0075113C">
        <w:rPr>
          <w:rFonts w:ascii="Calibri" w:hAnsi="Calibri" w:cs="Calibri"/>
          <w:kern w:val="0"/>
        </w:rPr>
        <w:t>"</w:t>
      </w:r>
      <w:r w:rsidR="002C3708" w:rsidRPr="0075113C">
        <w:rPr>
          <w:rFonts w:ascii="Calibri" w:hAnsi="Calibri" w:cs="Calibri"/>
          <w:kern w:val="0"/>
        </w:rPr>
        <w:t>Accuracy of Automated Computer-Aided Diagnosis for Stroke Imaging: A Critical Evaluation of Current Evidence</w:t>
      </w:r>
      <w:r w:rsidRPr="0075113C">
        <w:rPr>
          <w:rFonts w:ascii="Calibri" w:hAnsi="Calibri" w:cs="Calibri"/>
          <w:kern w:val="0"/>
        </w:rPr>
        <w:t xml:space="preserve">" </w:t>
      </w:r>
      <w:r w:rsidR="009905D1" w:rsidRPr="0075113C">
        <w:rPr>
          <w:rFonts w:ascii="Calibri" w:hAnsi="Calibri" w:cs="Calibri"/>
          <w:i/>
          <w:iCs/>
          <w:kern w:val="0"/>
        </w:rPr>
        <w:t>Stroke</w:t>
      </w:r>
      <w:r w:rsidR="00445251" w:rsidRPr="0075113C">
        <w:rPr>
          <w:rFonts w:ascii="Calibri" w:hAnsi="Calibri" w:cs="Calibri"/>
          <w:kern w:val="0"/>
        </w:rPr>
        <w:t>,</w:t>
      </w:r>
      <w:r w:rsidR="009905D1" w:rsidRPr="0075113C">
        <w:rPr>
          <w:rFonts w:ascii="Calibri" w:hAnsi="Calibri" w:cs="Calibri"/>
          <w:kern w:val="0"/>
        </w:rPr>
        <w:t xml:space="preserve"> </w:t>
      </w:r>
      <w:r w:rsidR="008C1EFB" w:rsidRPr="0075113C">
        <w:rPr>
          <w:rFonts w:ascii="Calibri" w:hAnsi="Calibri" w:cs="Calibri"/>
          <w:kern w:val="0"/>
        </w:rPr>
        <w:t xml:space="preserve">2022 April </w:t>
      </w:r>
      <w:r w:rsidRPr="0075113C">
        <w:rPr>
          <w:rFonts w:ascii="Calibri" w:hAnsi="Calibri" w:cs="Calibri"/>
          <w:kern w:val="0"/>
        </w:rPr>
        <w:t>[</w:t>
      </w:r>
      <w:r w:rsidR="009905D1" w:rsidRPr="0075113C">
        <w:rPr>
          <w:rFonts w:ascii="Calibri" w:hAnsi="Calibri" w:cs="Calibri"/>
          <w:kern w:val="0"/>
        </w:rPr>
        <w:t>AHAIASA Journals</w:t>
      </w:r>
      <w:r w:rsidRPr="0075113C">
        <w:rPr>
          <w:rFonts w:ascii="Calibri" w:hAnsi="Calibri" w:cs="Calibri"/>
          <w:kern w:val="0"/>
        </w:rPr>
        <w:t>](</w:t>
      </w:r>
      <w:r w:rsidR="009905D1" w:rsidRPr="0075113C">
        <w:rPr>
          <w:rFonts w:ascii="Calibri" w:hAnsi="Calibri" w:cs="Calibri"/>
        </w:rPr>
        <w:t xml:space="preserve"> </w:t>
      </w:r>
      <w:hyperlink r:id="rId33" w:history="1">
        <w:r w:rsidR="009427F5" w:rsidRPr="0005151C">
          <w:rPr>
            <w:rStyle w:val="Hyperlink"/>
            <w:rFonts w:ascii="Calibri" w:hAnsi="Calibri" w:cs="Calibri"/>
            <w:kern w:val="0"/>
          </w:rPr>
          <w:t>https://www.ahajournals.org/doi/full/10.1161/STROKEAHA.121.036204</w:t>
        </w:r>
      </w:hyperlink>
      <w:r w:rsidRPr="0075113C">
        <w:rPr>
          <w:rFonts w:ascii="Calibri" w:hAnsi="Calibri" w:cs="Calibri"/>
          <w:kern w:val="0"/>
        </w:rPr>
        <w:t>)</w:t>
      </w:r>
    </w:p>
    <w:p w14:paraId="63143874" w14:textId="77777777" w:rsidR="009427F5" w:rsidRPr="0075113C" w:rsidRDefault="009427F5" w:rsidP="00BF3671">
      <w:pPr>
        <w:rPr>
          <w:rFonts w:ascii="Calibri" w:hAnsi="Calibri" w:cs="Calibri"/>
          <w:kern w:val="0"/>
        </w:rPr>
      </w:pPr>
    </w:p>
    <w:p w14:paraId="787BD2D4" w14:textId="483AB712" w:rsidR="00BF3671" w:rsidRDefault="0075113C" w:rsidP="00BF3671">
      <w:pPr>
        <w:rPr>
          <w:rFonts w:ascii="Calibri" w:hAnsi="Calibri" w:cs="Calibri"/>
          <w:kern w:val="0"/>
        </w:rPr>
      </w:pPr>
      <w:r w:rsidRPr="0075113C">
        <w:rPr>
          <w:rFonts w:ascii="Calibri" w:hAnsi="Calibri" w:cs="Calibri"/>
          <w:kern w:val="0"/>
        </w:rPr>
        <w:t>"Cost-effectiveness of artificial intelligence aided vessel occlusion detection in acute stroke: an early health technology assessment"</w:t>
      </w:r>
      <w:r>
        <w:rPr>
          <w:rFonts w:ascii="Calibri" w:hAnsi="Calibri" w:cs="Calibri" w:hint="eastAsia"/>
          <w:kern w:val="0"/>
        </w:rPr>
        <w:t xml:space="preserve"> </w:t>
      </w:r>
      <w:r w:rsidR="0095165B" w:rsidRPr="0095165B">
        <w:rPr>
          <w:rFonts w:ascii="Calibri" w:hAnsi="Calibri" w:cs="Calibri"/>
          <w:i/>
          <w:iCs/>
          <w:kern w:val="0"/>
        </w:rPr>
        <w:t>Insights Imaging</w:t>
      </w:r>
      <w:r w:rsidR="0095165B">
        <w:rPr>
          <w:rFonts w:ascii="Calibri" w:hAnsi="Calibri" w:cs="Calibri" w:hint="eastAsia"/>
          <w:kern w:val="0"/>
        </w:rPr>
        <w:t>,</w:t>
      </w:r>
      <w:r w:rsidR="0095165B" w:rsidRPr="0095165B">
        <w:rPr>
          <w:rFonts w:ascii="Calibri" w:hAnsi="Calibri" w:cs="Calibri"/>
          <w:kern w:val="0"/>
        </w:rPr>
        <w:t xml:space="preserve"> 2021 Dec</w:t>
      </w:r>
      <w:r w:rsidR="0095165B">
        <w:rPr>
          <w:rFonts w:ascii="Calibri" w:hAnsi="Calibri" w:cs="Calibri" w:hint="eastAsia"/>
          <w:kern w:val="0"/>
        </w:rPr>
        <w:t xml:space="preserve"> </w:t>
      </w:r>
      <w:r w:rsidR="0095165B" w:rsidRPr="0075113C">
        <w:rPr>
          <w:rFonts w:ascii="Calibri" w:hAnsi="Calibri" w:cs="Calibri"/>
          <w:kern w:val="0"/>
        </w:rPr>
        <w:t>[PubMed]</w:t>
      </w:r>
      <w:r w:rsidR="0095165B">
        <w:rPr>
          <w:rFonts w:ascii="Calibri" w:hAnsi="Calibri" w:cs="Calibri" w:hint="eastAsia"/>
          <w:kern w:val="0"/>
        </w:rPr>
        <w:t>(</w:t>
      </w:r>
      <w:hyperlink r:id="rId34" w:history="1">
        <w:r w:rsidR="00A81135" w:rsidRPr="00E7486F">
          <w:rPr>
            <w:rStyle w:val="Hyperlink"/>
            <w:rFonts w:ascii="Calibri" w:hAnsi="Calibri" w:cs="Calibri"/>
            <w:kern w:val="0"/>
          </w:rPr>
          <w:t>https://www.ncbi.nlm.nih.gov/pmc/articles/PMC8464539/</w:t>
        </w:r>
      </w:hyperlink>
      <w:r w:rsidR="0095165B">
        <w:rPr>
          <w:rFonts w:ascii="Calibri" w:hAnsi="Calibri" w:cs="Calibri" w:hint="eastAsia"/>
          <w:kern w:val="0"/>
        </w:rPr>
        <w:t>)</w:t>
      </w:r>
    </w:p>
    <w:p w14:paraId="48EC049E" w14:textId="77777777" w:rsidR="00A81135" w:rsidRPr="0075113C" w:rsidRDefault="00A81135" w:rsidP="00BF3671">
      <w:pPr>
        <w:rPr>
          <w:rFonts w:ascii="Calibri" w:hAnsi="Calibri" w:cs="Calibri"/>
          <w:kern w:val="0"/>
        </w:rPr>
      </w:pPr>
    </w:p>
    <w:sectPr w:rsidR="00A81135" w:rsidRPr="0075113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129AA"/>
    <w:multiLevelType w:val="hybridMultilevel"/>
    <w:tmpl w:val="377E5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AA722BF"/>
    <w:multiLevelType w:val="multilevel"/>
    <w:tmpl w:val="3DE4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36A78"/>
    <w:multiLevelType w:val="hybridMultilevel"/>
    <w:tmpl w:val="F0BE43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8052C49"/>
    <w:multiLevelType w:val="multilevel"/>
    <w:tmpl w:val="604C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309229">
    <w:abstractNumId w:val="1"/>
  </w:num>
  <w:num w:numId="2" w16cid:durableId="627005772">
    <w:abstractNumId w:val="3"/>
  </w:num>
  <w:num w:numId="3" w16cid:durableId="500050673">
    <w:abstractNumId w:val="0"/>
  </w:num>
  <w:num w:numId="4" w16cid:durableId="15252439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3E9"/>
    <w:rsid w:val="00015259"/>
    <w:rsid w:val="000213C2"/>
    <w:rsid w:val="0003146B"/>
    <w:rsid w:val="000F5A07"/>
    <w:rsid w:val="00133DE7"/>
    <w:rsid w:val="00160B3F"/>
    <w:rsid w:val="00173B22"/>
    <w:rsid w:val="002361E0"/>
    <w:rsid w:val="002C3708"/>
    <w:rsid w:val="002C761A"/>
    <w:rsid w:val="002D53E9"/>
    <w:rsid w:val="002E527A"/>
    <w:rsid w:val="00361F7C"/>
    <w:rsid w:val="003877C1"/>
    <w:rsid w:val="003B0E5B"/>
    <w:rsid w:val="003E3182"/>
    <w:rsid w:val="004025ED"/>
    <w:rsid w:val="00445251"/>
    <w:rsid w:val="004737D2"/>
    <w:rsid w:val="004A5EAA"/>
    <w:rsid w:val="00522A4F"/>
    <w:rsid w:val="005409E1"/>
    <w:rsid w:val="005D67EF"/>
    <w:rsid w:val="00631E53"/>
    <w:rsid w:val="00642681"/>
    <w:rsid w:val="00666B00"/>
    <w:rsid w:val="006903B5"/>
    <w:rsid w:val="00696903"/>
    <w:rsid w:val="006C2DDB"/>
    <w:rsid w:val="00702F76"/>
    <w:rsid w:val="00723EAC"/>
    <w:rsid w:val="0075113C"/>
    <w:rsid w:val="00766885"/>
    <w:rsid w:val="007B49F7"/>
    <w:rsid w:val="008133F5"/>
    <w:rsid w:val="0086537C"/>
    <w:rsid w:val="00867A8C"/>
    <w:rsid w:val="008B192B"/>
    <w:rsid w:val="008C1EFB"/>
    <w:rsid w:val="008D3F90"/>
    <w:rsid w:val="008D5B1C"/>
    <w:rsid w:val="008F3427"/>
    <w:rsid w:val="009427F5"/>
    <w:rsid w:val="0095165B"/>
    <w:rsid w:val="00965E65"/>
    <w:rsid w:val="00976C44"/>
    <w:rsid w:val="009905D1"/>
    <w:rsid w:val="009B21B3"/>
    <w:rsid w:val="00A62E29"/>
    <w:rsid w:val="00A81135"/>
    <w:rsid w:val="00AE472D"/>
    <w:rsid w:val="00B275A6"/>
    <w:rsid w:val="00B36F0B"/>
    <w:rsid w:val="00BF3671"/>
    <w:rsid w:val="00C262BA"/>
    <w:rsid w:val="00C37C0C"/>
    <w:rsid w:val="00C52051"/>
    <w:rsid w:val="00C926FC"/>
    <w:rsid w:val="00CE7258"/>
    <w:rsid w:val="00D31761"/>
    <w:rsid w:val="00D35301"/>
    <w:rsid w:val="00D40EAC"/>
    <w:rsid w:val="00D51225"/>
    <w:rsid w:val="00D91A55"/>
    <w:rsid w:val="00DA3191"/>
    <w:rsid w:val="00DA63E9"/>
    <w:rsid w:val="00DB623F"/>
    <w:rsid w:val="00DD6C2C"/>
    <w:rsid w:val="00E11CDE"/>
    <w:rsid w:val="00E77622"/>
    <w:rsid w:val="00EC2778"/>
    <w:rsid w:val="00F541E8"/>
    <w:rsid w:val="00F558D0"/>
    <w:rsid w:val="00F901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F5D4"/>
  <w15:chartTrackingRefBased/>
  <w15:docId w15:val="{8252AA17-C3BD-472B-B8D9-71D13FFF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6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6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6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6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6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6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6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6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6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6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3E9"/>
    <w:rPr>
      <w:rFonts w:eastAsiaTheme="majorEastAsia" w:cstheme="majorBidi"/>
      <w:color w:val="272727" w:themeColor="text1" w:themeTint="D8"/>
    </w:rPr>
  </w:style>
  <w:style w:type="paragraph" w:styleId="Title">
    <w:name w:val="Title"/>
    <w:basedOn w:val="Normal"/>
    <w:next w:val="Normal"/>
    <w:link w:val="TitleChar"/>
    <w:uiPriority w:val="10"/>
    <w:qFormat/>
    <w:rsid w:val="00DA6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3E9"/>
    <w:pPr>
      <w:spacing w:before="160"/>
      <w:jc w:val="center"/>
    </w:pPr>
    <w:rPr>
      <w:i/>
      <w:iCs/>
      <w:color w:val="404040" w:themeColor="text1" w:themeTint="BF"/>
    </w:rPr>
  </w:style>
  <w:style w:type="character" w:customStyle="1" w:styleId="QuoteChar">
    <w:name w:val="Quote Char"/>
    <w:basedOn w:val="DefaultParagraphFont"/>
    <w:link w:val="Quote"/>
    <w:uiPriority w:val="29"/>
    <w:rsid w:val="00DA63E9"/>
    <w:rPr>
      <w:i/>
      <w:iCs/>
      <w:color w:val="404040" w:themeColor="text1" w:themeTint="BF"/>
    </w:rPr>
  </w:style>
  <w:style w:type="paragraph" w:styleId="ListParagraph">
    <w:name w:val="List Paragraph"/>
    <w:basedOn w:val="Normal"/>
    <w:uiPriority w:val="34"/>
    <w:qFormat/>
    <w:rsid w:val="00DA63E9"/>
    <w:pPr>
      <w:ind w:left="720"/>
      <w:contextualSpacing/>
    </w:pPr>
  </w:style>
  <w:style w:type="character" w:styleId="IntenseEmphasis">
    <w:name w:val="Intense Emphasis"/>
    <w:basedOn w:val="DefaultParagraphFont"/>
    <w:uiPriority w:val="21"/>
    <w:qFormat/>
    <w:rsid w:val="00DA63E9"/>
    <w:rPr>
      <w:i/>
      <w:iCs/>
      <w:color w:val="0F4761" w:themeColor="accent1" w:themeShade="BF"/>
    </w:rPr>
  </w:style>
  <w:style w:type="paragraph" w:styleId="IntenseQuote">
    <w:name w:val="Intense Quote"/>
    <w:basedOn w:val="Normal"/>
    <w:next w:val="Normal"/>
    <w:link w:val="IntenseQuoteChar"/>
    <w:uiPriority w:val="30"/>
    <w:qFormat/>
    <w:rsid w:val="00DA6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63E9"/>
    <w:rPr>
      <w:i/>
      <w:iCs/>
      <w:color w:val="0F4761" w:themeColor="accent1" w:themeShade="BF"/>
    </w:rPr>
  </w:style>
  <w:style w:type="character" w:styleId="IntenseReference">
    <w:name w:val="Intense Reference"/>
    <w:basedOn w:val="DefaultParagraphFont"/>
    <w:uiPriority w:val="32"/>
    <w:qFormat/>
    <w:rsid w:val="00DA63E9"/>
    <w:rPr>
      <w:b/>
      <w:bCs/>
      <w:smallCaps/>
      <w:color w:val="0F4761" w:themeColor="accent1" w:themeShade="BF"/>
      <w:spacing w:val="5"/>
    </w:rPr>
  </w:style>
  <w:style w:type="character" w:styleId="Hyperlink">
    <w:name w:val="Hyperlink"/>
    <w:basedOn w:val="DefaultParagraphFont"/>
    <w:uiPriority w:val="99"/>
    <w:unhideWhenUsed/>
    <w:rsid w:val="00F541E8"/>
    <w:rPr>
      <w:color w:val="467886" w:themeColor="hyperlink"/>
      <w:u w:val="single"/>
    </w:rPr>
  </w:style>
  <w:style w:type="character" w:styleId="UnresolvedMention">
    <w:name w:val="Unresolved Mention"/>
    <w:basedOn w:val="DefaultParagraphFont"/>
    <w:uiPriority w:val="99"/>
    <w:semiHidden/>
    <w:unhideWhenUsed/>
    <w:rsid w:val="00F541E8"/>
    <w:rPr>
      <w:color w:val="605E5C"/>
      <w:shd w:val="clear" w:color="auto" w:fill="E1DFDD"/>
    </w:rPr>
  </w:style>
  <w:style w:type="paragraph" w:styleId="NormalWeb">
    <w:name w:val="Normal (Web)"/>
    <w:basedOn w:val="Normal"/>
    <w:uiPriority w:val="99"/>
    <w:semiHidden/>
    <w:unhideWhenUsed/>
    <w:rsid w:val="008D3F9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3F90"/>
    <w:rPr>
      <w:b/>
      <w:bCs/>
    </w:rPr>
  </w:style>
  <w:style w:type="table" w:styleId="TableGrid">
    <w:name w:val="Table Grid"/>
    <w:basedOn w:val="TableNormal"/>
    <w:uiPriority w:val="39"/>
    <w:rsid w:val="00A81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92488">
      <w:bodyDiv w:val="1"/>
      <w:marLeft w:val="0"/>
      <w:marRight w:val="0"/>
      <w:marTop w:val="0"/>
      <w:marBottom w:val="0"/>
      <w:divBdr>
        <w:top w:val="none" w:sz="0" w:space="0" w:color="auto"/>
        <w:left w:val="none" w:sz="0" w:space="0" w:color="auto"/>
        <w:bottom w:val="none" w:sz="0" w:space="0" w:color="auto"/>
        <w:right w:val="none" w:sz="0" w:space="0" w:color="auto"/>
      </w:divBdr>
    </w:div>
    <w:div w:id="151529173">
      <w:bodyDiv w:val="1"/>
      <w:marLeft w:val="0"/>
      <w:marRight w:val="0"/>
      <w:marTop w:val="0"/>
      <w:marBottom w:val="0"/>
      <w:divBdr>
        <w:top w:val="none" w:sz="0" w:space="0" w:color="auto"/>
        <w:left w:val="none" w:sz="0" w:space="0" w:color="auto"/>
        <w:bottom w:val="none" w:sz="0" w:space="0" w:color="auto"/>
        <w:right w:val="none" w:sz="0" w:space="0" w:color="auto"/>
      </w:divBdr>
    </w:div>
    <w:div w:id="304168425">
      <w:bodyDiv w:val="1"/>
      <w:marLeft w:val="0"/>
      <w:marRight w:val="0"/>
      <w:marTop w:val="0"/>
      <w:marBottom w:val="0"/>
      <w:divBdr>
        <w:top w:val="none" w:sz="0" w:space="0" w:color="auto"/>
        <w:left w:val="none" w:sz="0" w:space="0" w:color="auto"/>
        <w:bottom w:val="none" w:sz="0" w:space="0" w:color="auto"/>
        <w:right w:val="none" w:sz="0" w:space="0" w:color="auto"/>
      </w:divBdr>
    </w:div>
    <w:div w:id="378677020">
      <w:bodyDiv w:val="1"/>
      <w:marLeft w:val="0"/>
      <w:marRight w:val="0"/>
      <w:marTop w:val="0"/>
      <w:marBottom w:val="0"/>
      <w:divBdr>
        <w:top w:val="none" w:sz="0" w:space="0" w:color="auto"/>
        <w:left w:val="none" w:sz="0" w:space="0" w:color="auto"/>
        <w:bottom w:val="none" w:sz="0" w:space="0" w:color="auto"/>
        <w:right w:val="none" w:sz="0" w:space="0" w:color="auto"/>
      </w:divBdr>
    </w:div>
    <w:div w:id="523057951">
      <w:bodyDiv w:val="1"/>
      <w:marLeft w:val="0"/>
      <w:marRight w:val="0"/>
      <w:marTop w:val="0"/>
      <w:marBottom w:val="0"/>
      <w:divBdr>
        <w:top w:val="none" w:sz="0" w:space="0" w:color="auto"/>
        <w:left w:val="none" w:sz="0" w:space="0" w:color="auto"/>
        <w:bottom w:val="none" w:sz="0" w:space="0" w:color="auto"/>
        <w:right w:val="none" w:sz="0" w:space="0" w:color="auto"/>
      </w:divBdr>
    </w:div>
    <w:div w:id="580870459">
      <w:bodyDiv w:val="1"/>
      <w:marLeft w:val="0"/>
      <w:marRight w:val="0"/>
      <w:marTop w:val="0"/>
      <w:marBottom w:val="0"/>
      <w:divBdr>
        <w:top w:val="none" w:sz="0" w:space="0" w:color="auto"/>
        <w:left w:val="none" w:sz="0" w:space="0" w:color="auto"/>
        <w:bottom w:val="none" w:sz="0" w:space="0" w:color="auto"/>
        <w:right w:val="none" w:sz="0" w:space="0" w:color="auto"/>
      </w:divBdr>
    </w:div>
    <w:div w:id="874348185">
      <w:bodyDiv w:val="1"/>
      <w:marLeft w:val="0"/>
      <w:marRight w:val="0"/>
      <w:marTop w:val="0"/>
      <w:marBottom w:val="0"/>
      <w:divBdr>
        <w:top w:val="none" w:sz="0" w:space="0" w:color="auto"/>
        <w:left w:val="none" w:sz="0" w:space="0" w:color="auto"/>
        <w:bottom w:val="none" w:sz="0" w:space="0" w:color="auto"/>
        <w:right w:val="none" w:sz="0" w:space="0" w:color="auto"/>
      </w:divBdr>
    </w:div>
    <w:div w:id="920673304">
      <w:bodyDiv w:val="1"/>
      <w:marLeft w:val="0"/>
      <w:marRight w:val="0"/>
      <w:marTop w:val="0"/>
      <w:marBottom w:val="0"/>
      <w:divBdr>
        <w:top w:val="none" w:sz="0" w:space="0" w:color="auto"/>
        <w:left w:val="none" w:sz="0" w:space="0" w:color="auto"/>
        <w:bottom w:val="none" w:sz="0" w:space="0" w:color="auto"/>
        <w:right w:val="none" w:sz="0" w:space="0" w:color="auto"/>
      </w:divBdr>
    </w:div>
    <w:div w:id="1363284257">
      <w:bodyDiv w:val="1"/>
      <w:marLeft w:val="0"/>
      <w:marRight w:val="0"/>
      <w:marTop w:val="0"/>
      <w:marBottom w:val="0"/>
      <w:divBdr>
        <w:top w:val="none" w:sz="0" w:space="0" w:color="auto"/>
        <w:left w:val="none" w:sz="0" w:space="0" w:color="auto"/>
        <w:bottom w:val="none" w:sz="0" w:space="0" w:color="auto"/>
        <w:right w:val="none" w:sz="0" w:space="0" w:color="auto"/>
      </w:divBdr>
    </w:div>
    <w:div w:id="1422140339">
      <w:bodyDiv w:val="1"/>
      <w:marLeft w:val="0"/>
      <w:marRight w:val="0"/>
      <w:marTop w:val="0"/>
      <w:marBottom w:val="0"/>
      <w:divBdr>
        <w:top w:val="none" w:sz="0" w:space="0" w:color="auto"/>
        <w:left w:val="none" w:sz="0" w:space="0" w:color="auto"/>
        <w:bottom w:val="none" w:sz="0" w:space="0" w:color="auto"/>
        <w:right w:val="none" w:sz="0" w:space="0" w:color="auto"/>
      </w:divBdr>
    </w:div>
    <w:div w:id="1481187356">
      <w:bodyDiv w:val="1"/>
      <w:marLeft w:val="0"/>
      <w:marRight w:val="0"/>
      <w:marTop w:val="0"/>
      <w:marBottom w:val="0"/>
      <w:divBdr>
        <w:top w:val="none" w:sz="0" w:space="0" w:color="auto"/>
        <w:left w:val="none" w:sz="0" w:space="0" w:color="auto"/>
        <w:bottom w:val="none" w:sz="0" w:space="0" w:color="auto"/>
        <w:right w:val="none" w:sz="0" w:space="0" w:color="auto"/>
      </w:divBdr>
    </w:div>
    <w:div w:id="1582838426">
      <w:bodyDiv w:val="1"/>
      <w:marLeft w:val="0"/>
      <w:marRight w:val="0"/>
      <w:marTop w:val="0"/>
      <w:marBottom w:val="0"/>
      <w:divBdr>
        <w:top w:val="none" w:sz="0" w:space="0" w:color="auto"/>
        <w:left w:val="none" w:sz="0" w:space="0" w:color="auto"/>
        <w:bottom w:val="none" w:sz="0" w:space="0" w:color="auto"/>
        <w:right w:val="none" w:sz="0" w:space="0" w:color="auto"/>
      </w:divBdr>
    </w:div>
    <w:div w:id="1622109370">
      <w:bodyDiv w:val="1"/>
      <w:marLeft w:val="0"/>
      <w:marRight w:val="0"/>
      <w:marTop w:val="0"/>
      <w:marBottom w:val="0"/>
      <w:divBdr>
        <w:top w:val="none" w:sz="0" w:space="0" w:color="auto"/>
        <w:left w:val="none" w:sz="0" w:space="0" w:color="auto"/>
        <w:bottom w:val="none" w:sz="0" w:space="0" w:color="auto"/>
        <w:right w:val="none" w:sz="0" w:space="0" w:color="auto"/>
      </w:divBdr>
      <w:divsChild>
        <w:div w:id="622345294">
          <w:marLeft w:val="0"/>
          <w:marRight w:val="0"/>
          <w:marTop w:val="0"/>
          <w:marBottom w:val="0"/>
          <w:divBdr>
            <w:top w:val="none" w:sz="0" w:space="0" w:color="auto"/>
            <w:left w:val="none" w:sz="0" w:space="0" w:color="auto"/>
            <w:bottom w:val="none" w:sz="0" w:space="0" w:color="auto"/>
            <w:right w:val="none" w:sz="0" w:space="0" w:color="auto"/>
          </w:divBdr>
        </w:div>
      </w:divsChild>
    </w:div>
    <w:div w:id="187226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cessdata.fda.gov/scripts/cdrh/cfdocs/cfpmn/pmn.cfm?ID=K220709" TargetMode="External"/><Relationship Id="rId18" Type="http://schemas.openxmlformats.org/officeDocument/2006/relationships/hyperlink" Target="https://www.accessdata.fda.gov/scripts/cdrh/cfdocs/cfpmn/pmn.cfm?ID=K213886" TargetMode="External"/><Relationship Id="rId26" Type="http://schemas.openxmlformats.org/officeDocument/2006/relationships/hyperlink" Target="https://www.accessdata.fda.gov/scripts/cdrh/cfdocs/cfpmn/pmn.cfm?ID=K190896" TargetMode="External"/><Relationship Id="rId3" Type="http://schemas.openxmlformats.org/officeDocument/2006/relationships/settings" Target="settings.xml"/><Relationship Id="rId21" Type="http://schemas.openxmlformats.org/officeDocument/2006/relationships/hyperlink" Target="https://www.accessdata.fda.gov/scripts/cdrh/cfdocs/cfpmn/pmn.cfm?ID=K202992" TargetMode="External"/><Relationship Id="rId34" Type="http://schemas.openxmlformats.org/officeDocument/2006/relationships/hyperlink" Target="https://www.ncbi.nlm.nih.gov/pmc/articles/PMC8464539/" TargetMode="External"/><Relationship Id="rId7" Type="http://schemas.openxmlformats.org/officeDocument/2006/relationships/hyperlink" Target="https://www.accessdata.fda.gov/scripts/cdrh/cfdocs/cfpmn/pmn.cfm?ID=K232083" TargetMode="External"/><Relationship Id="rId12" Type="http://schemas.openxmlformats.org/officeDocument/2006/relationships/hyperlink" Target="https://www.accessdata.fda.gov/scripts/cdrh/cfdocs/cfpmn/pmn.cfm?ID=K221330" TargetMode="External"/><Relationship Id="rId17" Type="http://schemas.openxmlformats.org/officeDocument/2006/relationships/hyperlink" Target="https://www.accessdata.fda.gov/scripts/cdrh/cfdocs/cfpmn/pmn.cfm?ID=K221240" TargetMode="External"/><Relationship Id="rId25" Type="http://schemas.openxmlformats.org/officeDocument/2006/relationships/hyperlink" Target="https://www.accessdata.fda.gov/scripts/cdrh/cfdocs/cfpmn/pmn.cfm?ID=K192383" TargetMode="External"/><Relationship Id="rId33" Type="http://schemas.openxmlformats.org/officeDocument/2006/relationships/hyperlink" Target="https://www.ahajournals.org/doi/full/10.1161/STROKEAHA.121.036204" TargetMode="External"/><Relationship Id="rId2" Type="http://schemas.openxmlformats.org/officeDocument/2006/relationships/styles" Target="styles.xml"/><Relationship Id="rId16" Type="http://schemas.openxmlformats.org/officeDocument/2006/relationships/hyperlink" Target="https://www.accessdata.fda.gov/scripts/cdrh/cfdocs/cfpmn/pmn.cfm?ID=K221314" TargetMode="External"/><Relationship Id="rId20" Type="http://schemas.openxmlformats.org/officeDocument/2006/relationships/hyperlink" Target="https://www.accessdata.fda.gov/scripts/cdrh/cfdocs/cfpmn/pmn.cfm?ID=K214043" TargetMode="External"/><Relationship Id="rId29" Type="http://schemas.openxmlformats.org/officeDocument/2006/relationships/hyperlink" Target="https://journals.plos.org/plosone/article?id=10.1371/journal.pone.0260560" TargetMode="External"/><Relationship Id="rId1" Type="http://schemas.openxmlformats.org/officeDocument/2006/relationships/numbering" Target="numbering.xml"/><Relationship Id="rId6" Type="http://schemas.openxmlformats.org/officeDocument/2006/relationships/hyperlink" Target="https://www.accessdata.fda.gov/scripts/cdrh/cfdocs/cfpmn/pmn.cfm?ID=K231631" TargetMode="External"/><Relationship Id="rId11" Type="http://schemas.openxmlformats.org/officeDocument/2006/relationships/hyperlink" Target="https://www.accessdata.fda.gov/scripts/cdrh/cfdocs/cfpmn/pmn.cfm?ID=K222692" TargetMode="External"/><Relationship Id="rId24" Type="http://schemas.openxmlformats.org/officeDocument/2006/relationships/hyperlink" Target="https://www.accessdata.fda.gov/scripts/cdrh/cfdocs/cfpmn/pmn.cfm?ID=K193298" TargetMode="External"/><Relationship Id="rId32" Type="http://schemas.openxmlformats.org/officeDocument/2006/relationships/hyperlink" Target="https://www.ncbi.nlm.nih.gov/pmc/articles/PMC7814792/" TargetMode="External"/><Relationship Id="rId5" Type="http://schemas.openxmlformats.org/officeDocument/2006/relationships/hyperlink" Target="https://www.fda.gov/medical-devices/software-medical-device-samd/artificial-intelligence-and-machine-learning-aiml-enabled-medical-devices" TargetMode="External"/><Relationship Id="rId15" Type="http://schemas.openxmlformats.org/officeDocument/2006/relationships/hyperlink" Target="https://www.accessdata.fda.gov/scripts/cdrh/cfdocs/cfpmn/pmn.cfm?ID=K222277" TargetMode="External"/><Relationship Id="rId23" Type="http://schemas.openxmlformats.org/officeDocument/2006/relationships/hyperlink" Target="https://www.accessdata.fda.gov/scripts/cdrh/cfdocs/cfpmn/pmn.cfm?ID=K201020" TargetMode="External"/><Relationship Id="rId28" Type="http://schemas.openxmlformats.org/officeDocument/2006/relationships/hyperlink" Target="https://www.accessdata.fda.gov/scripts/cdrh/cfdocs/cfpmn/pmn.cfm?ID=K180647" TargetMode="External"/><Relationship Id="rId36" Type="http://schemas.openxmlformats.org/officeDocument/2006/relationships/theme" Target="theme/theme1.xml"/><Relationship Id="rId10" Type="http://schemas.openxmlformats.org/officeDocument/2006/relationships/hyperlink" Target="https://www.accessdata.fda.gov/scripts/cdrh/cfdocs/cfpmn/pmn.cfm?ID=K230020" TargetMode="External"/><Relationship Id="rId19" Type="http://schemas.openxmlformats.org/officeDocument/2006/relationships/hyperlink" Target="https://www.accessdata.fda.gov/scripts/cdrh/cfdocs/cfpmn/pmn.cfm?ID=K213721" TargetMode="External"/><Relationship Id="rId31" Type="http://schemas.openxmlformats.org/officeDocument/2006/relationships/hyperlink" Target="https://intjem.biomedcentral.com/articles/10.1186/s12245-023-00523-y" TargetMode="External"/><Relationship Id="rId4" Type="http://schemas.openxmlformats.org/officeDocument/2006/relationships/webSettings" Target="webSettings.xml"/><Relationship Id="rId9" Type="http://schemas.openxmlformats.org/officeDocument/2006/relationships/hyperlink" Target="https://www.accessdata.fda.gov/scripts/cdrh/cfdocs/cfpmn/pmn.cfm?ID=K232751" TargetMode="External"/><Relationship Id="rId14" Type="http://schemas.openxmlformats.org/officeDocument/2006/relationships/hyperlink" Target="https://www.accessdata.fda.gov/scripts/cdrh/cfdocs/cfpmn/pmn.cfm?ID=K222329" TargetMode="External"/><Relationship Id="rId22" Type="http://schemas.openxmlformats.org/officeDocument/2006/relationships/hyperlink" Target="https://www.accessdata.fda.gov/scripts/cdrh/cfdocs/cfpmn/pmn.cfm?ID=K203508" TargetMode="External"/><Relationship Id="rId27" Type="http://schemas.openxmlformats.org/officeDocument/2006/relationships/hyperlink" Target="https://www.accessdata.fda.gov/scripts/cdrh/cfdocs/cfpmn/pmn.cfm?ID=K190072" TargetMode="External"/><Relationship Id="rId30" Type="http://schemas.openxmlformats.org/officeDocument/2006/relationships/hyperlink" Target="https://www-spiedigitallibrary-org.wwwproxy1.library.unsw.edu.au/conference-proceedings-of-spie/11317/2552400/A-prospective-randomized-clinical-trial-for-measuring-radiology-study-reporting/10.1117/12.2552400.full" TargetMode="External"/><Relationship Id="rId35" Type="http://schemas.openxmlformats.org/officeDocument/2006/relationships/fontTable" Target="fontTable.xml"/><Relationship Id="rId8" Type="http://schemas.openxmlformats.org/officeDocument/2006/relationships/hyperlink" Target="https://www.accessdata.fda.gov/scripts/cdrh/cfdocs/cfpmn/pmn.cfm?ID=K2305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5</Pages>
  <Words>1815</Words>
  <Characters>10351</Characters>
  <Application>Microsoft Office Word</Application>
  <DocSecurity>0</DocSecurity>
  <Lines>86</Lines>
  <Paragraphs>24</Paragraphs>
  <ScaleCrop>false</ScaleCrop>
  <Company/>
  <LinksUpToDate>false</LinksUpToDate>
  <CharactersWithSpaces>12142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68</cp:revision>
  <dcterms:created xsi:type="dcterms:W3CDTF">2024-07-11T01:38:00Z</dcterms:created>
  <dcterms:modified xsi:type="dcterms:W3CDTF">2024-07-12T05:19:00Z</dcterms:modified>
</cp:coreProperties>
</file>