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5C4C5" w14:textId="77777777" w:rsidR="004649EF" w:rsidRPr="004649EF" w:rsidRDefault="004649EF" w:rsidP="004649EF">
      <w:pPr>
        <w:rPr>
          <w:b/>
          <w:bCs/>
        </w:rPr>
      </w:pPr>
      <w:r w:rsidRPr="004649EF">
        <w:rPr>
          <w:b/>
          <w:bCs/>
        </w:rPr>
        <w:t>The patients table</w:t>
      </w:r>
    </w:p>
    <w:p w14:paraId="667A6F23" w14:textId="77777777" w:rsidR="004649EF" w:rsidRPr="004649EF" w:rsidRDefault="004649EF" w:rsidP="004649EF">
      <w:r w:rsidRPr="004649EF">
        <w:rPr>
          <w:b/>
          <w:bCs/>
        </w:rPr>
        <w:t>Table source:</w:t>
      </w:r>
      <w:r w:rsidRPr="004649EF">
        <w:t> CareVue and Metavision ICU databases.</w:t>
      </w:r>
    </w:p>
    <w:p w14:paraId="02068D0D" w14:textId="77777777" w:rsidR="004649EF" w:rsidRPr="004649EF" w:rsidRDefault="004649EF" w:rsidP="004649EF">
      <w:r w:rsidRPr="004649EF">
        <w:rPr>
          <w:b/>
          <w:bCs/>
        </w:rPr>
        <w:t>Table purpose:</w:t>
      </w:r>
      <w:r w:rsidRPr="004649EF">
        <w:t> Defines each SUBJECT_ID in the database, i.e. defines a single patient.</w:t>
      </w:r>
    </w:p>
    <w:p w14:paraId="505DDE73" w14:textId="77777777" w:rsidR="004649EF" w:rsidRPr="004649EF" w:rsidRDefault="004649EF" w:rsidP="004649EF">
      <w:r w:rsidRPr="004649EF">
        <w:rPr>
          <w:b/>
          <w:bCs/>
        </w:rPr>
        <w:t>Number of rows:</w:t>
      </w:r>
      <w:r w:rsidRPr="004649EF">
        <w:t> 46,520</w:t>
      </w:r>
    </w:p>
    <w:p w14:paraId="3C2BBA7F" w14:textId="77777777" w:rsidR="004649EF" w:rsidRPr="004649EF" w:rsidRDefault="004649EF" w:rsidP="004649EF">
      <w:r w:rsidRPr="004649EF">
        <w:rPr>
          <w:b/>
          <w:bCs/>
        </w:rPr>
        <w:t>Links to:</w:t>
      </w:r>
    </w:p>
    <w:p w14:paraId="749E6703" w14:textId="77777777" w:rsidR="004649EF" w:rsidRPr="004649EF" w:rsidRDefault="004649EF" w:rsidP="004649EF">
      <w:pPr>
        <w:numPr>
          <w:ilvl w:val="0"/>
          <w:numId w:val="1"/>
        </w:numPr>
      </w:pPr>
      <w:r w:rsidRPr="004649EF">
        <w:t>ADMISSIONS on SUBJECT_ID</w:t>
      </w:r>
    </w:p>
    <w:p w14:paraId="7BE2C5DD" w14:textId="77777777" w:rsidR="004649EF" w:rsidRPr="004649EF" w:rsidRDefault="004649EF" w:rsidP="004649EF">
      <w:pPr>
        <w:numPr>
          <w:ilvl w:val="0"/>
          <w:numId w:val="1"/>
        </w:numPr>
      </w:pPr>
      <w:r w:rsidRPr="004649EF">
        <w:t>ICUSTAYS on SUBJECT_ID</w:t>
      </w:r>
    </w:p>
    <w:p w14:paraId="45CD9F27" w14:textId="77777777" w:rsidR="004649EF" w:rsidRPr="004649EF" w:rsidRDefault="004649EF" w:rsidP="004649EF">
      <w:pPr>
        <w:rPr>
          <w:b/>
          <w:bCs/>
        </w:rPr>
      </w:pPr>
      <w:r w:rsidRPr="004649EF">
        <w:rPr>
          <w:b/>
          <w:bCs/>
        </w:rPr>
        <w:t>Important considerations</w:t>
      </w:r>
    </w:p>
    <w:p w14:paraId="7C5F7C59" w14:textId="77777777" w:rsidR="004649EF" w:rsidRPr="004649EF" w:rsidRDefault="004649EF" w:rsidP="004649EF">
      <w:pPr>
        <w:numPr>
          <w:ilvl w:val="0"/>
          <w:numId w:val="2"/>
        </w:numPr>
      </w:pPr>
      <w:r w:rsidRPr="004649EF">
        <w:t>DOB has been shifted for patients older than 89. The median age for the patients whose date of birth was shifted is 91.4.</w:t>
      </w:r>
    </w:p>
    <w:p w14:paraId="763252B9" w14:textId="77777777" w:rsidR="004649EF" w:rsidRPr="004649EF" w:rsidRDefault="004649EF" w:rsidP="004649EF">
      <w:pPr>
        <w:rPr>
          <w:b/>
          <w:bCs/>
        </w:rPr>
      </w:pPr>
      <w:r w:rsidRPr="004649EF">
        <w:rPr>
          <w:b/>
          <w:bCs/>
        </w:rPr>
        <w:t>Table columns</w:t>
      </w:r>
    </w:p>
    <w:tbl>
      <w:tblPr>
        <w:tblW w:w="13285" w:type="dxa"/>
        <w:shd w:val="clear" w:color="auto" w:fill="FFFFFF"/>
        <w:tblCellMar>
          <w:top w:w="15" w:type="dxa"/>
          <w:left w:w="15" w:type="dxa"/>
          <w:bottom w:w="15" w:type="dxa"/>
          <w:right w:w="15" w:type="dxa"/>
        </w:tblCellMar>
        <w:tblLook w:val="04A0" w:firstRow="1" w:lastRow="0" w:firstColumn="1" w:lastColumn="0" w:noHBand="0" w:noVBand="1"/>
      </w:tblPr>
      <w:tblGrid>
        <w:gridCol w:w="5500"/>
        <w:gridCol w:w="7785"/>
      </w:tblGrid>
      <w:tr w:rsidR="004649EF" w:rsidRPr="004649EF" w14:paraId="6D2BF55C" w14:textId="77777777" w:rsidTr="004649EF">
        <w:trPr>
          <w:tblHeader/>
        </w:trPr>
        <w:tc>
          <w:tcPr>
            <w:tcW w:w="0" w:type="auto"/>
            <w:tcBorders>
              <w:top w:val="single" w:sz="6" w:space="0" w:color="DEE2E6"/>
              <w:bottom w:val="single" w:sz="12" w:space="0" w:color="DEE2E6"/>
            </w:tcBorders>
            <w:shd w:val="clear" w:color="auto" w:fill="FFFFFF"/>
            <w:vAlign w:val="bottom"/>
            <w:hideMark/>
          </w:tcPr>
          <w:p w14:paraId="039C6EBC" w14:textId="77777777" w:rsidR="004649EF" w:rsidRPr="004649EF" w:rsidRDefault="004649EF" w:rsidP="004649EF">
            <w:pPr>
              <w:rPr>
                <w:b/>
                <w:bCs/>
              </w:rPr>
            </w:pPr>
            <w:r w:rsidRPr="004649EF">
              <w:rPr>
                <w:b/>
                <w:bCs/>
              </w:rPr>
              <w:t>Name</w:t>
            </w:r>
          </w:p>
        </w:tc>
        <w:tc>
          <w:tcPr>
            <w:tcW w:w="0" w:type="auto"/>
            <w:tcBorders>
              <w:top w:val="single" w:sz="6" w:space="0" w:color="DEE2E6"/>
              <w:bottom w:val="single" w:sz="12" w:space="0" w:color="DEE2E6"/>
            </w:tcBorders>
            <w:shd w:val="clear" w:color="auto" w:fill="FFFFFF"/>
            <w:vAlign w:val="bottom"/>
            <w:hideMark/>
          </w:tcPr>
          <w:p w14:paraId="2350C896" w14:textId="77777777" w:rsidR="004649EF" w:rsidRPr="004649EF" w:rsidRDefault="004649EF" w:rsidP="004649EF">
            <w:pPr>
              <w:rPr>
                <w:b/>
                <w:bCs/>
              </w:rPr>
            </w:pPr>
            <w:r w:rsidRPr="004649EF">
              <w:rPr>
                <w:b/>
                <w:bCs/>
              </w:rPr>
              <w:t>Postgres data type</w:t>
            </w:r>
          </w:p>
        </w:tc>
      </w:tr>
      <w:tr w:rsidR="004649EF" w:rsidRPr="004649EF" w14:paraId="18844E47" w14:textId="77777777" w:rsidTr="004649EF">
        <w:tc>
          <w:tcPr>
            <w:tcW w:w="0" w:type="auto"/>
            <w:tcBorders>
              <w:top w:val="single" w:sz="6" w:space="0" w:color="DEE2E6"/>
            </w:tcBorders>
            <w:shd w:val="clear" w:color="auto" w:fill="FFFFFF"/>
            <w:hideMark/>
          </w:tcPr>
          <w:p w14:paraId="4A70C694" w14:textId="77777777" w:rsidR="004649EF" w:rsidRPr="004649EF" w:rsidRDefault="004649EF" w:rsidP="004649EF">
            <w:r w:rsidRPr="004649EF">
              <w:t>ROW_ID</w:t>
            </w:r>
          </w:p>
        </w:tc>
        <w:tc>
          <w:tcPr>
            <w:tcW w:w="0" w:type="auto"/>
            <w:tcBorders>
              <w:top w:val="single" w:sz="6" w:space="0" w:color="DEE2E6"/>
            </w:tcBorders>
            <w:shd w:val="clear" w:color="auto" w:fill="FFFFFF"/>
            <w:hideMark/>
          </w:tcPr>
          <w:p w14:paraId="637EF4DB" w14:textId="77777777" w:rsidR="004649EF" w:rsidRPr="004649EF" w:rsidRDefault="004649EF" w:rsidP="004649EF">
            <w:r w:rsidRPr="004649EF">
              <w:t>INT</w:t>
            </w:r>
          </w:p>
        </w:tc>
      </w:tr>
      <w:tr w:rsidR="004649EF" w:rsidRPr="004649EF" w14:paraId="3663C58D" w14:textId="77777777" w:rsidTr="004649EF">
        <w:tc>
          <w:tcPr>
            <w:tcW w:w="0" w:type="auto"/>
            <w:tcBorders>
              <w:top w:val="single" w:sz="6" w:space="0" w:color="DEE2E6"/>
            </w:tcBorders>
            <w:shd w:val="clear" w:color="auto" w:fill="FFFFFF"/>
            <w:hideMark/>
          </w:tcPr>
          <w:p w14:paraId="26BBAFAB" w14:textId="77777777" w:rsidR="004649EF" w:rsidRPr="004649EF" w:rsidRDefault="004649EF" w:rsidP="004649EF">
            <w:r w:rsidRPr="004649EF">
              <w:t>SUBJECT_ID</w:t>
            </w:r>
          </w:p>
        </w:tc>
        <w:tc>
          <w:tcPr>
            <w:tcW w:w="0" w:type="auto"/>
            <w:tcBorders>
              <w:top w:val="single" w:sz="6" w:space="0" w:color="DEE2E6"/>
            </w:tcBorders>
            <w:shd w:val="clear" w:color="auto" w:fill="FFFFFF"/>
            <w:hideMark/>
          </w:tcPr>
          <w:p w14:paraId="094EFD9A" w14:textId="77777777" w:rsidR="004649EF" w:rsidRPr="004649EF" w:rsidRDefault="004649EF" w:rsidP="004649EF">
            <w:r w:rsidRPr="004649EF">
              <w:t>INT</w:t>
            </w:r>
          </w:p>
        </w:tc>
      </w:tr>
      <w:tr w:rsidR="004649EF" w:rsidRPr="004649EF" w14:paraId="630866E3" w14:textId="77777777" w:rsidTr="004649EF">
        <w:tc>
          <w:tcPr>
            <w:tcW w:w="0" w:type="auto"/>
            <w:tcBorders>
              <w:top w:val="single" w:sz="6" w:space="0" w:color="DEE2E6"/>
            </w:tcBorders>
            <w:shd w:val="clear" w:color="auto" w:fill="FFFFFF"/>
            <w:hideMark/>
          </w:tcPr>
          <w:p w14:paraId="2C9E8C70" w14:textId="77777777" w:rsidR="004649EF" w:rsidRPr="004649EF" w:rsidRDefault="004649EF" w:rsidP="004649EF">
            <w:r w:rsidRPr="004649EF">
              <w:t>GENDER</w:t>
            </w:r>
          </w:p>
        </w:tc>
        <w:tc>
          <w:tcPr>
            <w:tcW w:w="0" w:type="auto"/>
            <w:tcBorders>
              <w:top w:val="single" w:sz="6" w:space="0" w:color="DEE2E6"/>
            </w:tcBorders>
            <w:shd w:val="clear" w:color="auto" w:fill="FFFFFF"/>
            <w:hideMark/>
          </w:tcPr>
          <w:p w14:paraId="597E72D6" w14:textId="77777777" w:rsidR="004649EF" w:rsidRPr="004649EF" w:rsidRDefault="004649EF" w:rsidP="004649EF">
            <w:r w:rsidRPr="004649EF">
              <w:t>VARCHAR(5)</w:t>
            </w:r>
          </w:p>
        </w:tc>
      </w:tr>
      <w:tr w:rsidR="004649EF" w:rsidRPr="004649EF" w14:paraId="47DEAE59" w14:textId="77777777" w:rsidTr="004649EF">
        <w:tc>
          <w:tcPr>
            <w:tcW w:w="0" w:type="auto"/>
            <w:tcBorders>
              <w:top w:val="single" w:sz="6" w:space="0" w:color="DEE2E6"/>
            </w:tcBorders>
            <w:shd w:val="clear" w:color="auto" w:fill="FFFFFF"/>
            <w:hideMark/>
          </w:tcPr>
          <w:p w14:paraId="546008ED" w14:textId="77777777" w:rsidR="004649EF" w:rsidRPr="004649EF" w:rsidRDefault="004649EF" w:rsidP="004649EF">
            <w:r w:rsidRPr="004649EF">
              <w:t>DOB</w:t>
            </w:r>
          </w:p>
        </w:tc>
        <w:tc>
          <w:tcPr>
            <w:tcW w:w="0" w:type="auto"/>
            <w:tcBorders>
              <w:top w:val="single" w:sz="6" w:space="0" w:color="DEE2E6"/>
            </w:tcBorders>
            <w:shd w:val="clear" w:color="auto" w:fill="FFFFFF"/>
            <w:hideMark/>
          </w:tcPr>
          <w:p w14:paraId="03434C9C" w14:textId="77777777" w:rsidR="004649EF" w:rsidRPr="004649EF" w:rsidRDefault="004649EF" w:rsidP="004649EF">
            <w:r w:rsidRPr="004649EF">
              <w:t>TIMESTAMP(0)</w:t>
            </w:r>
          </w:p>
        </w:tc>
      </w:tr>
      <w:tr w:rsidR="004649EF" w:rsidRPr="004649EF" w14:paraId="62C14FC5" w14:textId="77777777" w:rsidTr="004649EF">
        <w:tc>
          <w:tcPr>
            <w:tcW w:w="0" w:type="auto"/>
            <w:tcBorders>
              <w:top w:val="single" w:sz="6" w:space="0" w:color="DEE2E6"/>
            </w:tcBorders>
            <w:shd w:val="clear" w:color="auto" w:fill="FFFFFF"/>
            <w:hideMark/>
          </w:tcPr>
          <w:p w14:paraId="44D37695" w14:textId="77777777" w:rsidR="004649EF" w:rsidRPr="004649EF" w:rsidRDefault="004649EF" w:rsidP="004649EF">
            <w:r w:rsidRPr="004649EF">
              <w:t>DOD</w:t>
            </w:r>
          </w:p>
        </w:tc>
        <w:tc>
          <w:tcPr>
            <w:tcW w:w="0" w:type="auto"/>
            <w:tcBorders>
              <w:top w:val="single" w:sz="6" w:space="0" w:color="DEE2E6"/>
            </w:tcBorders>
            <w:shd w:val="clear" w:color="auto" w:fill="FFFFFF"/>
            <w:hideMark/>
          </w:tcPr>
          <w:p w14:paraId="7F791255" w14:textId="77777777" w:rsidR="004649EF" w:rsidRPr="004649EF" w:rsidRDefault="004649EF" w:rsidP="004649EF">
            <w:r w:rsidRPr="004649EF">
              <w:t>TIMESTAMP(0)</w:t>
            </w:r>
          </w:p>
        </w:tc>
      </w:tr>
      <w:tr w:rsidR="004649EF" w:rsidRPr="004649EF" w14:paraId="42A5C86C" w14:textId="77777777" w:rsidTr="004649EF">
        <w:tc>
          <w:tcPr>
            <w:tcW w:w="0" w:type="auto"/>
            <w:tcBorders>
              <w:top w:val="single" w:sz="6" w:space="0" w:color="DEE2E6"/>
            </w:tcBorders>
            <w:shd w:val="clear" w:color="auto" w:fill="FFFFFF"/>
            <w:hideMark/>
          </w:tcPr>
          <w:p w14:paraId="2D1E3360" w14:textId="77777777" w:rsidR="004649EF" w:rsidRPr="004649EF" w:rsidRDefault="004649EF" w:rsidP="004649EF">
            <w:r w:rsidRPr="004649EF">
              <w:t>DOD_HOSP</w:t>
            </w:r>
          </w:p>
        </w:tc>
        <w:tc>
          <w:tcPr>
            <w:tcW w:w="0" w:type="auto"/>
            <w:tcBorders>
              <w:top w:val="single" w:sz="6" w:space="0" w:color="DEE2E6"/>
            </w:tcBorders>
            <w:shd w:val="clear" w:color="auto" w:fill="FFFFFF"/>
            <w:hideMark/>
          </w:tcPr>
          <w:p w14:paraId="7AA5B88C" w14:textId="77777777" w:rsidR="004649EF" w:rsidRPr="004649EF" w:rsidRDefault="004649EF" w:rsidP="004649EF">
            <w:r w:rsidRPr="004649EF">
              <w:t>TIMESTAMP(0)</w:t>
            </w:r>
          </w:p>
        </w:tc>
      </w:tr>
      <w:tr w:rsidR="004649EF" w:rsidRPr="004649EF" w14:paraId="0070C804" w14:textId="77777777" w:rsidTr="004649EF">
        <w:tc>
          <w:tcPr>
            <w:tcW w:w="0" w:type="auto"/>
            <w:tcBorders>
              <w:top w:val="single" w:sz="6" w:space="0" w:color="DEE2E6"/>
            </w:tcBorders>
            <w:shd w:val="clear" w:color="auto" w:fill="FFFFFF"/>
            <w:hideMark/>
          </w:tcPr>
          <w:p w14:paraId="6D06B0EC" w14:textId="77777777" w:rsidR="004649EF" w:rsidRPr="004649EF" w:rsidRDefault="004649EF" w:rsidP="004649EF">
            <w:r w:rsidRPr="004649EF">
              <w:t>DOD_SSN</w:t>
            </w:r>
          </w:p>
        </w:tc>
        <w:tc>
          <w:tcPr>
            <w:tcW w:w="0" w:type="auto"/>
            <w:tcBorders>
              <w:top w:val="single" w:sz="6" w:space="0" w:color="DEE2E6"/>
            </w:tcBorders>
            <w:shd w:val="clear" w:color="auto" w:fill="FFFFFF"/>
            <w:hideMark/>
          </w:tcPr>
          <w:p w14:paraId="34BE37D5" w14:textId="77777777" w:rsidR="004649EF" w:rsidRPr="004649EF" w:rsidRDefault="004649EF" w:rsidP="004649EF">
            <w:r w:rsidRPr="004649EF">
              <w:t>TIMESTAMP(0)</w:t>
            </w:r>
          </w:p>
        </w:tc>
      </w:tr>
      <w:tr w:rsidR="004649EF" w:rsidRPr="004649EF" w14:paraId="53B55D48" w14:textId="77777777" w:rsidTr="004649EF">
        <w:tc>
          <w:tcPr>
            <w:tcW w:w="0" w:type="auto"/>
            <w:tcBorders>
              <w:top w:val="single" w:sz="6" w:space="0" w:color="DEE2E6"/>
            </w:tcBorders>
            <w:shd w:val="clear" w:color="auto" w:fill="FFFFFF"/>
            <w:hideMark/>
          </w:tcPr>
          <w:p w14:paraId="01B5E892" w14:textId="77777777" w:rsidR="004649EF" w:rsidRPr="004649EF" w:rsidRDefault="004649EF" w:rsidP="004649EF">
            <w:r w:rsidRPr="004649EF">
              <w:t>EXPIRE_FLAG</w:t>
            </w:r>
          </w:p>
        </w:tc>
        <w:tc>
          <w:tcPr>
            <w:tcW w:w="0" w:type="auto"/>
            <w:tcBorders>
              <w:top w:val="single" w:sz="6" w:space="0" w:color="DEE2E6"/>
            </w:tcBorders>
            <w:shd w:val="clear" w:color="auto" w:fill="FFFFFF"/>
            <w:hideMark/>
          </w:tcPr>
          <w:p w14:paraId="3AA7D579" w14:textId="77777777" w:rsidR="004649EF" w:rsidRPr="004649EF" w:rsidRDefault="004649EF" w:rsidP="004649EF">
            <w:r w:rsidRPr="004649EF">
              <w:t>VARCHAR(5)</w:t>
            </w:r>
          </w:p>
        </w:tc>
      </w:tr>
    </w:tbl>
    <w:p w14:paraId="46368E7D" w14:textId="77777777" w:rsidR="00F66CDE" w:rsidRDefault="00F66CDE" w:rsidP="004649EF">
      <w:pPr>
        <w:rPr>
          <w:b/>
          <w:bCs/>
        </w:rPr>
      </w:pPr>
    </w:p>
    <w:p w14:paraId="7E59336E" w14:textId="77777777" w:rsidR="00F66CDE" w:rsidRDefault="00F66CDE" w:rsidP="004649EF">
      <w:pPr>
        <w:rPr>
          <w:b/>
          <w:bCs/>
        </w:rPr>
      </w:pPr>
    </w:p>
    <w:p w14:paraId="6E4931CD" w14:textId="77777777" w:rsidR="00F66CDE" w:rsidRDefault="00F66CDE" w:rsidP="004649EF">
      <w:pPr>
        <w:rPr>
          <w:b/>
          <w:bCs/>
        </w:rPr>
      </w:pPr>
    </w:p>
    <w:p w14:paraId="25DABCBC" w14:textId="77777777" w:rsidR="00F66CDE" w:rsidRDefault="00F66CDE" w:rsidP="004649EF">
      <w:pPr>
        <w:rPr>
          <w:b/>
          <w:bCs/>
        </w:rPr>
      </w:pPr>
    </w:p>
    <w:p w14:paraId="04CF2F49" w14:textId="77777777" w:rsidR="00F66CDE" w:rsidRDefault="00F66CDE" w:rsidP="004649EF">
      <w:pPr>
        <w:rPr>
          <w:b/>
          <w:bCs/>
        </w:rPr>
      </w:pPr>
    </w:p>
    <w:p w14:paraId="41EA0B5A" w14:textId="77777777" w:rsidR="00F66CDE" w:rsidRDefault="00F66CDE" w:rsidP="004649EF">
      <w:pPr>
        <w:rPr>
          <w:b/>
          <w:bCs/>
        </w:rPr>
      </w:pPr>
    </w:p>
    <w:p w14:paraId="1D5DCEAD" w14:textId="77777777" w:rsidR="00F66CDE" w:rsidRDefault="00F66CDE" w:rsidP="004649EF">
      <w:pPr>
        <w:rPr>
          <w:b/>
          <w:bCs/>
        </w:rPr>
      </w:pPr>
    </w:p>
    <w:p w14:paraId="6FC867F9" w14:textId="0232D121" w:rsidR="004649EF" w:rsidRPr="004649EF" w:rsidRDefault="004649EF" w:rsidP="004649EF">
      <w:pPr>
        <w:rPr>
          <w:b/>
          <w:bCs/>
        </w:rPr>
      </w:pPr>
      <w:r w:rsidRPr="004649EF">
        <w:rPr>
          <w:b/>
          <w:bCs/>
        </w:rPr>
        <w:lastRenderedPageBreak/>
        <w:t>Detailed Description</w:t>
      </w:r>
    </w:p>
    <w:p w14:paraId="7649ACF8" w14:textId="77777777" w:rsidR="004649EF" w:rsidRPr="004649EF" w:rsidRDefault="004649EF" w:rsidP="004649EF">
      <w:r w:rsidRPr="004649EF">
        <w:t>SUBJECT_ID</w:t>
      </w:r>
    </w:p>
    <w:p w14:paraId="037DAD7E" w14:textId="77777777" w:rsidR="004649EF" w:rsidRPr="004649EF" w:rsidRDefault="004649EF" w:rsidP="004649EF">
      <w:r w:rsidRPr="004649EF">
        <w:t>SUBJECT_ID is a unique identifier which specifies an individual patient. SUBJECT_ID is a candidate key for the table, so is unique for each row. Information that is consistent for the lifetime of a patient is stored in this table.</w:t>
      </w:r>
    </w:p>
    <w:p w14:paraId="077576F2" w14:textId="77777777" w:rsidR="004649EF" w:rsidRPr="004649EF" w:rsidRDefault="004649EF" w:rsidP="004649EF">
      <w:r w:rsidRPr="004649EF">
        <w:t>GENDER</w:t>
      </w:r>
    </w:p>
    <w:p w14:paraId="4060CFEC" w14:textId="77777777" w:rsidR="004649EF" w:rsidRPr="004649EF" w:rsidRDefault="004649EF" w:rsidP="004649EF">
      <w:r w:rsidRPr="004649EF">
        <w:t>GENDER is the genotypical sex of the patient.</w:t>
      </w:r>
    </w:p>
    <w:p w14:paraId="5D155870" w14:textId="77777777" w:rsidR="004649EF" w:rsidRPr="004649EF" w:rsidRDefault="004649EF" w:rsidP="004649EF">
      <w:r w:rsidRPr="004649EF">
        <w:t>DOB</w:t>
      </w:r>
      <w:hyperlink r:id="rId7" w:anchor="dob" w:history="1">
        <w:r w:rsidRPr="004649EF">
          <w:rPr>
            <w:rStyle w:val="Hyperlink"/>
          </w:rPr>
          <w:t> </w:t>
        </w:r>
      </w:hyperlink>
    </w:p>
    <w:p w14:paraId="16EEBA60" w14:textId="77777777" w:rsidR="004649EF" w:rsidRPr="004649EF" w:rsidRDefault="004649EF" w:rsidP="004649EF">
      <w:r w:rsidRPr="004649EF">
        <w:t>DOB is the date of birth of the given patient. Patients who are older than 89 years old at any time in the database have had their date of birth shifted to obscure their age and comply with HIPAA. The shift process was as follows: the patient’s age at their first admission was determined. The date of birth was then set to exactly 300 years before their first admission.</w:t>
      </w:r>
    </w:p>
    <w:p w14:paraId="5F70A7C0" w14:textId="77777777" w:rsidR="004649EF" w:rsidRPr="004649EF" w:rsidRDefault="004649EF" w:rsidP="004649EF">
      <w:r w:rsidRPr="004649EF">
        <w:t>DOD, DOD_HOSP, DOD_SSN</w:t>
      </w:r>
    </w:p>
    <w:p w14:paraId="7FE05766" w14:textId="77777777" w:rsidR="004649EF" w:rsidRPr="004649EF" w:rsidRDefault="004649EF" w:rsidP="004649EF">
      <w:r w:rsidRPr="004649EF">
        <w:t>DOD is the date of death for the given patient. DOD_HOSP is the date of death as recorded in the hospital database. DOD_SSN is the date of death from the social security database. Note that DOD merged together DOD_HOSP and DOD_SSN, giving priority to DOD_HOSP if both were recorded.</w:t>
      </w:r>
    </w:p>
    <w:p w14:paraId="5C85DE69" w14:textId="77777777" w:rsidR="004649EF" w:rsidRPr="004649EF" w:rsidRDefault="004649EF" w:rsidP="004649EF">
      <w:r w:rsidRPr="004649EF">
        <w:t>EXPIRE_FLAG</w:t>
      </w:r>
    </w:p>
    <w:p w14:paraId="16B253D0" w14:textId="77777777" w:rsidR="004649EF" w:rsidRPr="004649EF" w:rsidRDefault="004649EF" w:rsidP="004649EF">
      <w:r w:rsidRPr="004649EF">
        <w:t>EXPIRE_FLAG is a binary flag which indicates whether the patient died, i.e. whether DOD is null or not. These deaths include both deaths within the hospital (DOD_HOSP) and deaths identified by matching the patient to the social security master death index (DOD_SSN).</w:t>
      </w:r>
    </w:p>
    <w:p w14:paraId="7E81EA96" w14:textId="77777777" w:rsidR="00E77622" w:rsidRDefault="00E77622"/>
    <w:sectPr w:rsidR="00E7762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A6A428C" w14:textId="77777777" w:rsidR="00437C10" w:rsidRDefault="00437C10" w:rsidP="004649EF">
      <w:pPr>
        <w:spacing w:after="0" w:line="240" w:lineRule="auto"/>
      </w:pPr>
      <w:r>
        <w:separator/>
      </w:r>
    </w:p>
  </w:endnote>
  <w:endnote w:type="continuationSeparator" w:id="0">
    <w:p w14:paraId="0AEBF0E0" w14:textId="77777777" w:rsidR="00437C10" w:rsidRDefault="00437C10" w:rsidP="00464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EA866C" w14:textId="77777777" w:rsidR="00437C10" w:rsidRDefault="00437C10" w:rsidP="004649EF">
      <w:pPr>
        <w:spacing w:after="0" w:line="240" w:lineRule="auto"/>
      </w:pPr>
      <w:r>
        <w:separator/>
      </w:r>
    </w:p>
  </w:footnote>
  <w:footnote w:type="continuationSeparator" w:id="0">
    <w:p w14:paraId="378A13FD" w14:textId="77777777" w:rsidR="00437C10" w:rsidRDefault="00437C10" w:rsidP="00464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494E8C"/>
    <w:multiLevelType w:val="multilevel"/>
    <w:tmpl w:val="339E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9868BC"/>
    <w:multiLevelType w:val="multilevel"/>
    <w:tmpl w:val="8674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666442">
    <w:abstractNumId w:val="0"/>
  </w:num>
  <w:num w:numId="2" w16cid:durableId="10955890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FD8"/>
    <w:rsid w:val="00100FD8"/>
    <w:rsid w:val="00437C10"/>
    <w:rsid w:val="004649EF"/>
    <w:rsid w:val="00B95898"/>
    <w:rsid w:val="00C05F7A"/>
    <w:rsid w:val="00E77622"/>
    <w:rsid w:val="00F558D0"/>
    <w:rsid w:val="00F66C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52E20"/>
  <w15:chartTrackingRefBased/>
  <w15:docId w15:val="{FEC10554-A3A4-4BCA-B8B2-E0B7F2DA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F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0F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0F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F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F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F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F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F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F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F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0F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0F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F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F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F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F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F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FD8"/>
    <w:rPr>
      <w:rFonts w:eastAsiaTheme="majorEastAsia" w:cstheme="majorBidi"/>
      <w:color w:val="272727" w:themeColor="text1" w:themeTint="D8"/>
    </w:rPr>
  </w:style>
  <w:style w:type="paragraph" w:styleId="Title">
    <w:name w:val="Title"/>
    <w:basedOn w:val="Normal"/>
    <w:next w:val="Normal"/>
    <w:link w:val="TitleChar"/>
    <w:uiPriority w:val="10"/>
    <w:qFormat/>
    <w:rsid w:val="00100F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F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F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F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FD8"/>
    <w:pPr>
      <w:spacing w:before="160"/>
      <w:jc w:val="center"/>
    </w:pPr>
    <w:rPr>
      <w:i/>
      <w:iCs/>
      <w:color w:val="404040" w:themeColor="text1" w:themeTint="BF"/>
    </w:rPr>
  </w:style>
  <w:style w:type="character" w:customStyle="1" w:styleId="QuoteChar">
    <w:name w:val="Quote Char"/>
    <w:basedOn w:val="DefaultParagraphFont"/>
    <w:link w:val="Quote"/>
    <w:uiPriority w:val="29"/>
    <w:rsid w:val="00100FD8"/>
    <w:rPr>
      <w:i/>
      <w:iCs/>
      <w:color w:val="404040" w:themeColor="text1" w:themeTint="BF"/>
    </w:rPr>
  </w:style>
  <w:style w:type="paragraph" w:styleId="ListParagraph">
    <w:name w:val="List Paragraph"/>
    <w:basedOn w:val="Normal"/>
    <w:uiPriority w:val="34"/>
    <w:qFormat/>
    <w:rsid w:val="00100FD8"/>
    <w:pPr>
      <w:ind w:left="720"/>
      <w:contextualSpacing/>
    </w:pPr>
  </w:style>
  <w:style w:type="character" w:styleId="IntenseEmphasis">
    <w:name w:val="Intense Emphasis"/>
    <w:basedOn w:val="DefaultParagraphFont"/>
    <w:uiPriority w:val="21"/>
    <w:qFormat/>
    <w:rsid w:val="00100FD8"/>
    <w:rPr>
      <w:i/>
      <w:iCs/>
      <w:color w:val="0F4761" w:themeColor="accent1" w:themeShade="BF"/>
    </w:rPr>
  </w:style>
  <w:style w:type="paragraph" w:styleId="IntenseQuote">
    <w:name w:val="Intense Quote"/>
    <w:basedOn w:val="Normal"/>
    <w:next w:val="Normal"/>
    <w:link w:val="IntenseQuoteChar"/>
    <w:uiPriority w:val="30"/>
    <w:qFormat/>
    <w:rsid w:val="00100F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FD8"/>
    <w:rPr>
      <w:i/>
      <w:iCs/>
      <w:color w:val="0F4761" w:themeColor="accent1" w:themeShade="BF"/>
    </w:rPr>
  </w:style>
  <w:style w:type="character" w:styleId="IntenseReference">
    <w:name w:val="Intense Reference"/>
    <w:basedOn w:val="DefaultParagraphFont"/>
    <w:uiPriority w:val="32"/>
    <w:qFormat/>
    <w:rsid w:val="00100FD8"/>
    <w:rPr>
      <w:b/>
      <w:bCs/>
      <w:smallCaps/>
      <w:color w:val="0F4761" w:themeColor="accent1" w:themeShade="BF"/>
      <w:spacing w:val="5"/>
    </w:rPr>
  </w:style>
  <w:style w:type="paragraph" w:styleId="Header">
    <w:name w:val="header"/>
    <w:basedOn w:val="Normal"/>
    <w:link w:val="HeaderChar"/>
    <w:uiPriority w:val="99"/>
    <w:unhideWhenUsed/>
    <w:rsid w:val="004649EF"/>
    <w:pPr>
      <w:tabs>
        <w:tab w:val="center" w:pos="4153"/>
        <w:tab w:val="right" w:pos="8306"/>
      </w:tabs>
      <w:spacing w:after="0" w:line="240" w:lineRule="auto"/>
    </w:pPr>
  </w:style>
  <w:style w:type="character" w:customStyle="1" w:styleId="HeaderChar">
    <w:name w:val="Header Char"/>
    <w:basedOn w:val="DefaultParagraphFont"/>
    <w:link w:val="Header"/>
    <w:uiPriority w:val="99"/>
    <w:rsid w:val="004649EF"/>
  </w:style>
  <w:style w:type="paragraph" w:styleId="Footer">
    <w:name w:val="footer"/>
    <w:basedOn w:val="Normal"/>
    <w:link w:val="FooterChar"/>
    <w:uiPriority w:val="99"/>
    <w:unhideWhenUsed/>
    <w:rsid w:val="004649EF"/>
    <w:pPr>
      <w:tabs>
        <w:tab w:val="center" w:pos="4153"/>
        <w:tab w:val="right" w:pos="8306"/>
      </w:tabs>
      <w:spacing w:after="0" w:line="240" w:lineRule="auto"/>
    </w:pPr>
  </w:style>
  <w:style w:type="character" w:customStyle="1" w:styleId="FooterChar">
    <w:name w:val="Footer Char"/>
    <w:basedOn w:val="DefaultParagraphFont"/>
    <w:link w:val="Footer"/>
    <w:uiPriority w:val="99"/>
    <w:rsid w:val="004649EF"/>
  </w:style>
  <w:style w:type="character" w:styleId="Hyperlink">
    <w:name w:val="Hyperlink"/>
    <w:basedOn w:val="DefaultParagraphFont"/>
    <w:uiPriority w:val="99"/>
    <w:unhideWhenUsed/>
    <w:rsid w:val="004649EF"/>
    <w:rPr>
      <w:color w:val="467886" w:themeColor="hyperlink"/>
      <w:u w:val="single"/>
    </w:rPr>
  </w:style>
  <w:style w:type="character" w:styleId="UnresolvedMention">
    <w:name w:val="Unresolved Mention"/>
    <w:basedOn w:val="DefaultParagraphFont"/>
    <w:uiPriority w:val="99"/>
    <w:semiHidden/>
    <w:unhideWhenUsed/>
    <w:rsid w:val="00464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299779">
      <w:bodyDiv w:val="1"/>
      <w:marLeft w:val="0"/>
      <w:marRight w:val="0"/>
      <w:marTop w:val="0"/>
      <w:marBottom w:val="0"/>
      <w:divBdr>
        <w:top w:val="none" w:sz="0" w:space="0" w:color="auto"/>
        <w:left w:val="none" w:sz="0" w:space="0" w:color="auto"/>
        <w:bottom w:val="none" w:sz="0" w:space="0" w:color="auto"/>
        <w:right w:val="none" w:sz="0" w:space="0" w:color="auto"/>
      </w:divBdr>
    </w:div>
    <w:div w:id="210449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imic.mit.edu/docs/iii/tables/pati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Zhenyu Zhang</dc:creator>
  <cp:keywords/>
  <dc:description/>
  <cp:lastModifiedBy>Zhenyu Zhang</cp:lastModifiedBy>
  <cp:revision>3</cp:revision>
  <dcterms:created xsi:type="dcterms:W3CDTF">2024-11-26T02:28:00Z</dcterms:created>
  <dcterms:modified xsi:type="dcterms:W3CDTF">2024-11-26T18:07:00Z</dcterms:modified>
</cp:coreProperties>
</file>