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tabs>
          <w:tab w:val="left" w:pos="0" w:leader="none"/>
        </w:tabs>
        <w:bidi w:val="0"/>
        <w:spacing w:lineRule="auto" w:line="360" w:before="240" w:after="120"/>
        <w:ind w:left="0" w:hanging="0"/>
        <w:jc w:val="both"/>
        <w:rPr>
          <w:rFonts w:ascii="Times New Roman" w:hAnsi="Times New Roman"/>
        </w:rPr>
      </w:pPr>
      <w:r>
        <w:rPr>
          <w:rFonts w:ascii="Times New Roman" w:hAnsi="Times New Roman"/>
        </w:rPr>
        <w:t>“</w:t>
      </w:r>
      <w:r>
        <w:rPr>
          <w:rFonts w:ascii="Times New Roman" w:hAnsi="Times New Roman"/>
        </w:rPr>
        <w:t>Рукописная традиция и богодухновенность Новозаветного текста”. Иеромонах Павел (Коротких).</w:t>
      </w:r>
    </w:p>
    <w:p>
      <w:pPr>
        <w:pStyle w:val="Firstparagraph"/>
        <w:bidi w:val="0"/>
        <w:spacing w:lineRule="auto" w:line="360"/>
        <w:jc w:val="both"/>
        <w:rPr>
          <w:rFonts w:ascii="Times New Roman" w:hAnsi="Times New Roman"/>
          <w:sz w:val="24"/>
          <w:szCs w:val="24"/>
        </w:rPr>
      </w:pPr>
      <w:r>
        <w:rPr>
          <w:rFonts w:ascii="Times New Roman" w:hAnsi="Times New Roman"/>
          <w:sz w:val="24"/>
          <w:szCs w:val="24"/>
        </w:rPr>
        <w:t>В последнее время все громче раздаются голоса критиков, использующих методы современной текстологии для дискредитации Библии как богодухновенного текста</w:t>
      </w:r>
      <w:r>
        <w:rPr>
          <w:rStyle w:val="FootnoteAnchor"/>
          <w:rFonts w:ascii="Times New Roman" w:hAnsi="Times New Roman"/>
          <w:sz w:val="24"/>
          <w:szCs w:val="24"/>
        </w:rPr>
        <w:footnoteReference w:id="2"/>
      </w:r>
      <w:r>
        <w:rPr>
          <w:rFonts w:ascii="Times New Roman" w:hAnsi="Times New Roman"/>
          <w:sz w:val="24"/>
          <w:szCs w:val="24"/>
        </w:rPr>
        <w:t>. В этой статье сделана попытка рассмотреть возможные решения проблемы разнообразия рукописных текстов Нового Завета (далее — НЗ).</w:t>
      </w:r>
    </w:p>
    <w:p>
      <w:pPr>
        <w:pStyle w:val="TextBody"/>
        <w:bidi w:val="0"/>
        <w:spacing w:lineRule="auto" w:line="360"/>
        <w:jc w:val="both"/>
        <w:rPr>
          <w:rFonts w:ascii="Times New Roman" w:hAnsi="Times New Roman"/>
          <w:sz w:val="24"/>
          <w:szCs w:val="24"/>
        </w:rPr>
      </w:pPr>
      <w:r>
        <w:rPr>
          <w:rFonts w:ascii="Times New Roman" w:hAnsi="Times New Roman"/>
          <w:sz w:val="24"/>
          <w:szCs w:val="24"/>
        </w:rPr>
        <w:t>Начнем с примера. В свое время Ориген, руководствуясь географическими и этимологическими соображениями, счел, что местом Крещения Спасителя в Ин 1:28 должна была быть названа Вифавара, а не Вифания (как значилось в древнем тексте)</w:t>
      </w:r>
      <w:r>
        <w:rPr>
          <w:rStyle w:val="FootnoteAnchor"/>
          <w:rFonts w:ascii="Times New Roman" w:hAnsi="Times New Roman"/>
          <w:sz w:val="24"/>
          <w:szCs w:val="24"/>
        </w:rPr>
        <w:footnoteReference w:id="3"/>
      </w:r>
      <w:r>
        <w:rPr>
          <w:rFonts w:ascii="Times New Roman" w:hAnsi="Times New Roman"/>
          <w:sz w:val="24"/>
          <w:szCs w:val="24"/>
        </w:rPr>
        <w:t>. Впоследствии именно “Вифавара” закрепилась в большей части греческих рукописей НЗ. В таком виде данный текст существует сегодня в церковнославянском и Синодальном переводах. Однако, в Остромировом Евангелии, древнейшем русском списке этого текста, в Ин. 1:28 стоит дооригеновский вариант “в Вифании”.</w:t>
      </w:r>
    </w:p>
    <w:p>
      <w:pPr>
        <w:pStyle w:val="TextBody"/>
        <w:bidi w:val="0"/>
        <w:spacing w:lineRule="auto" w:line="360"/>
        <w:jc w:val="both"/>
        <w:rPr>
          <w:rFonts w:ascii="Times New Roman" w:hAnsi="Times New Roman"/>
          <w:sz w:val="24"/>
          <w:szCs w:val="24"/>
        </w:rPr>
      </w:pPr>
      <w:r>
        <w:rPr>
          <w:rFonts w:ascii="Times New Roman" w:hAnsi="Times New Roman"/>
          <w:sz w:val="24"/>
          <w:szCs w:val="24"/>
        </w:rPr>
        <w:t>Этот пример показывает, что вопросы текстологии НЗ не являются для нас чем-то далеким и отвлеченным. Греческий текст Нового Завета изменялся со временем, а вслед за этим менялись и переводы, которые выполнялись с греческих оригиналов</w:t>
      </w:r>
      <w:r>
        <w:rPr>
          <w:rStyle w:val="FootnoteAnchor"/>
          <w:rFonts w:ascii="Times New Roman" w:hAnsi="Times New Roman"/>
          <w:sz w:val="24"/>
          <w:szCs w:val="24"/>
        </w:rPr>
        <w:footnoteReference w:id="4"/>
      </w:r>
      <w:r>
        <w:rPr>
          <w:rFonts w:ascii="Times New Roman" w:hAnsi="Times New Roman"/>
          <w:sz w:val="24"/>
          <w:szCs w:val="24"/>
        </w:rPr>
        <w:t>. Зададимся вопросом: можно ли с достаточной уверенностью определить какое из чтений — подлинное? Для начала попробуем вкратце рассмотреть методы, используемые при подоготовке критических изданий НЗ современными учеными.</w:t>
      </w:r>
    </w:p>
    <w:p>
      <w:pPr>
        <w:pStyle w:val="Heading2"/>
        <w:numPr>
          <w:ilvl w:val="1"/>
          <w:numId w:val="1"/>
        </w:numPr>
        <w:tabs>
          <w:tab w:val="left" w:pos="0" w:leader="none"/>
        </w:tabs>
        <w:bidi w:val="0"/>
        <w:spacing w:lineRule="auto" w:line="360"/>
        <w:ind w:left="0" w:hanging="0"/>
        <w:jc w:val="both"/>
        <w:rPr>
          <w:rFonts w:ascii="Times New Roman" w:hAnsi="Times New Roman"/>
        </w:rPr>
      </w:pPr>
      <w:r>
        <w:rPr>
          <w:rFonts w:ascii="Times New Roman" w:hAnsi="Times New Roman"/>
        </w:rPr>
        <w:t>Текстология НЗ.</w:t>
      </w:r>
    </w:p>
    <w:p>
      <w:pPr>
        <w:pStyle w:val="Firstparagraph"/>
        <w:bidi w:val="0"/>
        <w:spacing w:lineRule="auto" w:line="360"/>
        <w:jc w:val="both"/>
        <w:rPr>
          <w:rFonts w:ascii="Times New Roman" w:hAnsi="Times New Roman"/>
        </w:rPr>
      </w:pPr>
      <w:r>
        <w:rPr>
          <w:rFonts w:ascii="Times New Roman" w:hAnsi="Times New Roman"/>
        </w:rPr>
        <w:t>Тексты НЗ, сохранившиеся в рукописной традиции, классифицируются учеными в зависимости от краткости или пространности редакции, включения или исключения определенных фрагментов текста, особенностей языка и др.</w:t>
      </w:r>
    </w:p>
    <w:p>
      <w:pPr>
        <w:pStyle w:val="TextBody"/>
        <w:bidi w:val="0"/>
        <w:spacing w:lineRule="auto" w:line="360"/>
        <w:jc w:val="both"/>
        <w:rPr>
          <w:rFonts w:ascii="Times New Roman" w:hAnsi="Times New Roman"/>
        </w:rPr>
      </w:pPr>
      <w:r>
        <w:rPr>
          <w:rFonts w:ascii="Times New Roman" w:hAnsi="Times New Roman"/>
        </w:rPr>
        <w:t xml:space="preserve">Большинство исследователей придерживается мнения о древности </w:t>
      </w:r>
      <w:r>
        <w:rPr>
          <w:rFonts w:ascii="Times New Roman" w:hAnsi="Times New Roman"/>
          <w:i/>
          <w:iCs/>
        </w:rPr>
        <w:t>Александрийского</w:t>
      </w:r>
      <w:r>
        <w:rPr>
          <w:rFonts w:ascii="Times New Roman" w:hAnsi="Times New Roman"/>
        </w:rPr>
        <w:t xml:space="preserve"> типа текста. Это самая краткая его форма (по сравнению с </w:t>
      </w:r>
      <w:r>
        <w:rPr>
          <w:rFonts w:ascii="Times New Roman" w:hAnsi="Times New Roman"/>
          <w:i/>
          <w:iCs/>
        </w:rPr>
        <w:t>Византийским</w:t>
      </w:r>
      <w:r>
        <w:rPr>
          <w:rFonts w:ascii="Times New Roman" w:hAnsi="Times New Roman"/>
        </w:rPr>
        <w:t xml:space="preserve">, </w:t>
      </w:r>
      <w:r>
        <w:rPr>
          <w:rFonts w:ascii="Times New Roman" w:hAnsi="Times New Roman"/>
          <w:i/>
          <w:iCs/>
        </w:rPr>
        <w:t>Кесарийскиw</w:t>
      </w:r>
      <w:r>
        <w:rPr>
          <w:rFonts w:ascii="Times New Roman" w:hAnsi="Times New Roman"/>
        </w:rPr>
        <w:t xml:space="preserve"> и </w:t>
      </w:r>
      <w:r>
        <w:rPr>
          <w:rFonts w:ascii="Times New Roman" w:hAnsi="Times New Roman"/>
          <w:i/>
          <w:iCs/>
        </w:rPr>
        <w:t>Западным</w:t>
      </w:r>
      <w:r>
        <w:rPr>
          <w:rFonts w:ascii="Times New Roman" w:hAnsi="Times New Roman"/>
        </w:rPr>
        <w:t xml:space="preserve"> типами)</w:t>
      </w:r>
      <w:r>
        <w:rPr>
          <w:rStyle w:val="FootnoteAnchor"/>
          <w:rFonts w:ascii="Times New Roman" w:hAnsi="Times New Roman"/>
        </w:rPr>
        <w:footnoteReference w:id="5"/>
      </w:r>
      <w:r>
        <w:rPr>
          <w:rFonts w:ascii="Times New Roman" w:hAnsi="Times New Roman"/>
        </w:rPr>
        <w:t>. Именно на основе Александрийского типа редакторы критических изданий НЗ пытаются восстановить изначальный облик НЗ текста.</w:t>
      </w:r>
    </w:p>
    <w:p>
      <w:pPr>
        <w:pStyle w:val="TextBody"/>
        <w:bidi w:val="0"/>
        <w:spacing w:lineRule="auto" w:line="360"/>
        <w:jc w:val="both"/>
        <w:rPr>
          <w:rFonts w:ascii="Times New Roman" w:hAnsi="Times New Roman"/>
        </w:rPr>
      </w:pPr>
      <w:r>
        <w:rPr>
          <w:rFonts w:ascii="Times New Roman" w:hAnsi="Times New Roman"/>
        </w:rPr>
        <w:t xml:space="preserve">Другой важной группой свидетелей является </w:t>
      </w:r>
      <w:r>
        <w:rPr>
          <w:rFonts w:ascii="Times New Roman" w:hAnsi="Times New Roman"/>
          <w:i/>
          <w:iCs/>
        </w:rPr>
        <w:t>Западный</w:t>
      </w:r>
      <w:r>
        <w:rPr>
          <w:rFonts w:ascii="Times New Roman" w:hAnsi="Times New Roman"/>
        </w:rPr>
        <w:t xml:space="preserve"> тип. Он считается “народной”, “неконтролируемой” версией НЗ</w:t>
      </w:r>
      <w:r>
        <w:rPr>
          <w:rStyle w:val="FootnoteAnchor"/>
          <w:rFonts w:ascii="Times New Roman" w:hAnsi="Times New Roman"/>
        </w:rPr>
        <w:footnoteReference w:id="6"/>
      </w:r>
      <w:r>
        <w:rPr>
          <w:rFonts w:ascii="Times New Roman" w:hAnsi="Times New Roman"/>
        </w:rPr>
        <w:t xml:space="preserve">. Судя по всему, многие </w:t>
      </w:r>
      <w:r>
        <w:rPr>
          <w:rFonts w:ascii="Times New Roman" w:hAnsi="Times New Roman"/>
          <w:i/>
          <w:iCs/>
        </w:rPr>
        <w:t>вставки</w:t>
      </w:r>
      <w:r>
        <w:rPr>
          <w:rFonts w:ascii="Times New Roman" w:hAnsi="Times New Roman"/>
        </w:rPr>
        <w:t xml:space="preserve"> проникли в позднейшие версии текста НЗ именно из рукописей Западного типа. И Александрийский, и Западный тип текста использовался древними отцами Церкви, что видно из цитирования ими Писания.</w:t>
      </w:r>
    </w:p>
    <w:p>
      <w:pPr>
        <w:pStyle w:val="TextBody"/>
        <w:bidi w:val="0"/>
        <w:spacing w:lineRule="auto" w:line="360"/>
        <w:jc w:val="both"/>
        <w:rPr>
          <w:rFonts w:ascii="Times New Roman" w:hAnsi="Times New Roman"/>
        </w:rPr>
      </w:pPr>
      <w:r>
        <w:rPr>
          <w:rFonts w:ascii="Times New Roman" w:hAnsi="Times New Roman"/>
        </w:rPr>
        <w:t xml:space="preserve">Примерно 90% сохранившихся рукописей содержат </w:t>
      </w:r>
      <w:r>
        <w:rPr>
          <w:rFonts w:ascii="Times New Roman" w:hAnsi="Times New Roman"/>
          <w:i/>
          <w:iCs/>
        </w:rPr>
        <w:t>Византийский текст</w:t>
      </w:r>
      <w:r>
        <w:rPr>
          <w:rFonts w:ascii="Times New Roman" w:hAnsi="Times New Roman"/>
        </w:rPr>
        <w:t xml:space="preserve"> (“Койне”), который до сего дня употребляется в Православной Церкви (в том числе, и в РПЦ, в церковнославянском и “синодальном” переводе). Однако ученые считают Византийский текст вторичным: большинство рукописей, в которых он сохранился, — поздние, стабильный Византийский текст формируется около IX века</w:t>
      </w:r>
      <w:r>
        <w:rPr>
          <w:rStyle w:val="FootnoteAnchor"/>
          <w:rFonts w:ascii="Times New Roman" w:hAnsi="Times New Roman"/>
        </w:rPr>
        <w:footnoteReference w:id="7"/>
      </w:r>
      <w:r>
        <w:rPr>
          <w:rFonts w:ascii="Times New Roman" w:hAnsi="Times New Roman"/>
        </w:rPr>
        <w:t xml:space="preserve">. Впрочем, с этим не согласны защитники т.н. </w:t>
      </w:r>
      <w:r>
        <w:rPr>
          <w:rFonts w:ascii="Times New Roman" w:hAnsi="Times New Roman"/>
          <w:i/>
          <w:iCs/>
        </w:rPr>
        <w:t>Византийского приоритета</w:t>
      </w:r>
      <w:r>
        <w:rPr>
          <w:rFonts w:ascii="Times New Roman" w:hAnsi="Times New Roman"/>
        </w:rPr>
        <w:t xml:space="preserve"> (далее — ВП)</w:t>
      </w:r>
      <w:r>
        <w:rPr>
          <w:rStyle w:val="FootnoteAnchor"/>
          <w:rFonts w:ascii="Times New Roman" w:hAnsi="Times New Roman"/>
        </w:rPr>
        <w:footnoteReference w:id="8"/>
      </w:r>
      <w:r>
        <w:rPr>
          <w:rFonts w:ascii="Times New Roman" w:hAnsi="Times New Roman"/>
        </w:rPr>
        <w:t>, которые заявляют, что в поздних Византийских рукописях содержится оригинальный апостольский текст, промыслительно сохраненный Богом в течение веков</w:t>
      </w:r>
      <w:r>
        <w:rPr>
          <w:rStyle w:val="FootnoteAnchor"/>
          <w:rFonts w:ascii="Times New Roman" w:hAnsi="Times New Roman"/>
        </w:rPr>
        <w:footnoteReference w:id="9"/>
      </w:r>
      <w:r>
        <w:rPr>
          <w:rFonts w:ascii="Times New Roman" w:hAnsi="Times New Roman"/>
        </w:rPr>
        <w:t>. Эта позиция еще в 1990-х подверглась жесткой критике</w:t>
      </w:r>
      <w:r>
        <w:rPr>
          <w:rStyle w:val="FootnoteAnchor"/>
          <w:rFonts w:ascii="Times New Roman" w:hAnsi="Times New Roman"/>
        </w:rPr>
        <w:footnoteReference w:id="10"/>
      </w:r>
      <w:r>
        <w:rPr>
          <w:rFonts w:ascii="Times New Roman" w:hAnsi="Times New Roman"/>
        </w:rPr>
        <w:t>. Наиболее актуальной попыткой ее отразить являются работы Мориса Робинсона (Moris Arthur Robinson)</w:t>
      </w:r>
      <w:r>
        <w:rPr>
          <w:rStyle w:val="FootnoteAnchor"/>
          <w:rFonts w:ascii="Times New Roman" w:hAnsi="Times New Roman"/>
        </w:rPr>
        <w:footnoteReference w:id="11"/>
      </w:r>
      <w:r>
        <w:rPr>
          <w:rFonts w:ascii="Times New Roman" w:hAnsi="Times New Roman"/>
        </w:rPr>
        <w:t>. Однако, несмотря на все усилия защитников ВП, большинство претензий, предъявляемых к этой гипотезе, остается в силе.</w:t>
      </w:r>
    </w:p>
    <w:p>
      <w:pPr>
        <w:pStyle w:val="Heading3"/>
        <w:numPr>
          <w:ilvl w:val="2"/>
          <w:numId w:val="1"/>
        </w:numPr>
        <w:tabs>
          <w:tab w:val="left" w:pos="0" w:leader="none"/>
        </w:tabs>
        <w:bidi w:val="0"/>
        <w:spacing w:lineRule="auto" w:line="360"/>
        <w:ind w:left="0" w:hanging="0"/>
        <w:jc w:val="both"/>
        <w:rPr>
          <w:rFonts w:ascii="Times New Roman" w:hAnsi="Times New Roman"/>
        </w:rPr>
      </w:pPr>
      <w:r>
        <w:rPr>
          <w:rFonts w:ascii="Times New Roman" w:hAnsi="Times New Roman"/>
        </w:rPr>
        <w:t>Аргумент от количества сохранившихся источников.</w:t>
      </w:r>
    </w:p>
    <w:p>
      <w:pPr>
        <w:pStyle w:val="Firstparagraph"/>
        <w:bidi w:val="0"/>
        <w:spacing w:lineRule="auto" w:line="360"/>
        <w:jc w:val="both"/>
        <w:rPr>
          <w:rFonts w:ascii="Times New Roman" w:hAnsi="Times New Roman"/>
        </w:rPr>
      </w:pPr>
      <w:r>
        <w:rPr>
          <w:rFonts w:ascii="Times New Roman" w:hAnsi="Times New Roman"/>
        </w:rPr>
        <w:t>Представим себе струю воды из крана. Большая часть воды сосредоточена в основном потоке, остальное, — брызги, улетающие далеко от центра. Сравнив основной поток воды с большинством сохранившихся манускриптов, содержащих Византийский тип текста, а далеко улетевшие капли — с немногочисленными носителями других типов, получим примерную аналогию статистической модели ВП: непрерывная передача рукописного текста в целом должна подчиняться т.н. “нормальному закону распределения” (Гаусса). Однако это объяснение сталкивается с проблемами:</w:t>
      </w:r>
    </w:p>
    <w:p>
      <w:pPr>
        <w:pStyle w:val="TextBody"/>
        <w:bidi w:val="0"/>
        <w:spacing w:lineRule="auto" w:line="360"/>
        <w:jc w:val="both"/>
        <w:rPr>
          <w:rFonts w:ascii="Times New Roman" w:hAnsi="Times New Roman"/>
        </w:rPr>
      </w:pPr>
      <w:r>
        <w:rPr>
          <w:rFonts w:ascii="Times New Roman" w:hAnsi="Times New Roman"/>
        </w:rPr>
        <w:t>Во-первых, судя по сохранившимся данным, на ранних стадиях “поток” наталкивался на серьезные препятствия (например, гонения Диоклетиана, сопровождавшиеся уничтожением рукописей НЗ). “Брызги” могут быть вызваны подобным столкновением, а не маргинальными ответвлениями от основной традиции. Проще говоря, “водяная” аналогия не учитывает турбулентности в ранний период истории НЗ текста и факта отсутствия свидетелей Византийского типа на раннем этапе.</w:t>
      </w:r>
    </w:p>
    <w:p>
      <w:pPr>
        <w:pStyle w:val="TextBody"/>
        <w:bidi w:val="0"/>
        <w:spacing w:lineRule="auto" w:line="360"/>
        <w:jc w:val="both"/>
        <w:rPr>
          <w:rFonts w:ascii="Times New Roman" w:hAnsi="Times New Roman"/>
        </w:rPr>
      </w:pPr>
      <w:r>
        <w:rPr>
          <w:rFonts w:ascii="Times New Roman" w:hAnsi="Times New Roman"/>
        </w:rPr>
        <w:t>Кажется, в качестве примера здесь больше подходит срез дерева, внешние “кольца” которого со временем становятся все шире. Сердцевина же составляет небольшой процент общего объема, но именно она является следом первоначального состояния растения (и как самая старая часть, наиболее подвержена разрушению). В рамках этой модели внешние кольца — поздние рукописи, содержащие Византийский тип текста, а уцелевшая часть сердцевины — манускрипты Александрийского и Западного типа. Такая аналогия лучше учитывает сохранившиеся данные.</w:t>
      </w:r>
    </w:p>
    <w:p>
      <w:pPr>
        <w:pStyle w:val="TextBody"/>
        <w:bidi w:val="0"/>
        <w:spacing w:lineRule="auto" w:line="360"/>
        <w:jc w:val="both"/>
        <w:rPr>
          <w:rFonts w:ascii="Times New Roman" w:hAnsi="Times New Roman"/>
        </w:rPr>
      </w:pPr>
      <w:r>
        <w:rPr>
          <w:rFonts w:ascii="Times New Roman" w:hAnsi="Times New Roman"/>
        </w:rPr>
        <w:t>Во-вторых, сторонники ВП не смогли показать на практике, что статистический метод действительно работает так, как ими задумано</w:t>
      </w:r>
      <w:r>
        <w:rPr>
          <w:rStyle w:val="FootnoteAnchor"/>
          <w:rFonts w:ascii="Times New Roman" w:hAnsi="Times New Roman"/>
        </w:rPr>
        <w:footnoteReference w:id="12"/>
      </w:r>
      <w:r>
        <w:rPr>
          <w:rFonts w:ascii="Times New Roman" w:hAnsi="Times New Roman"/>
        </w:rPr>
        <w:t>.</w:t>
      </w:r>
    </w:p>
    <w:p>
      <w:pPr>
        <w:pStyle w:val="Heading3"/>
        <w:numPr>
          <w:ilvl w:val="2"/>
          <w:numId w:val="1"/>
        </w:numPr>
        <w:tabs>
          <w:tab w:val="left" w:pos="0" w:leader="none"/>
        </w:tabs>
        <w:bidi w:val="0"/>
        <w:spacing w:lineRule="auto" w:line="360"/>
        <w:ind w:left="0" w:hanging="0"/>
        <w:jc w:val="both"/>
        <w:rPr>
          <w:rFonts w:ascii="Times New Roman" w:hAnsi="Times New Roman"/>
        </w:rPr>
      </w:pPr>
      <w:r>
        <w:rPr>
          <w:rFonts w:ascii="Times New Roman" w:hAnsi="Times New Roman"/>
        </w:rPr>
        <w:t>Внутренняя логика исправлений.</w:t>
      </w:r>
    </w:p>
    <w:p>
      <w:pPr>
        <w:pStyle w:val="Firstparagraph"/>
        <w:bidi w:val="0"/>
        <w:spacing w:lineRule="auto" w:line="360"/>
        <w:jc w:val="both"/>
        <w:rPr>
          <w:rFonts w:ascii="Times New Roman" w:hAnsi="Times New Roman"/>
        </w:rPr>
      </w:pPr>
      <w:r>
        <w:rPr>
          <w:rFonts w:ascii="Times New Roman" w:hAnsi="Times New Roman"/>
        </w:rPr>
        <w:t>Как показали работы Гордона Фи, Дэниэла Уоллеса и других исследователей, Византийские чтения легко объясняются как поздние дополнения и гармонизации более древнего текста. Рассуждение в противоположном направлении чаще всего противоречит логике и здравому смыслу.</w:t>
      </w:r>
    </w:p>
    <w:p>
      <w:pPr>
        <w:pStyle w:val="TextBody"/>
        <w:bidi w:val="0"/>
        <w:spacing w:lineRule="auto" w:line="360"/>
        <w:jc w:val="both"/>
        <w:rPr>
          <w:rFonts w:ascii="Times New Roman" w:hAnsi="Times New Roman"/>
        </w:rPr>
      </w:pPr>
      <w:r>
        <w:rPr>
          <w:rFonts w:ascii="Times New Roman" w:hAnsi="Times New Roman"/>
        </w:rPr>
        <w:t xml:space="preserve">Например, в стихе Мк. 1:2 (“как написано </w:t>
      </w:r>
      <w:r>
        <w:rPr>
          <w:rFonts w:ascii="Times New Roman" w:hAnsi="Times New Roman"/>
          <w:i/>
          <w:iCs/>
        </w:rPr>
        <w:t>у пророков</w:t>
      </w:r>
      <w:r>
        <w:rPr>
          <w:rFonts w:ascii="Times New Roman" w:hAnsi="Times New Roman"/>
        </w:rPr>
        <w:t>: вот, Я посылаю Ангела Моего пред лицем Твоим…”, Синод.) имеется вариант “ἐν τῷ Ἠσαίᾳ τῷ προφήτῃ” / “ἐν τοὶς προφήταις”. Если второе чтение “у пророков”, содержащееся в поздних Византийских источниках, является изначальным, сложно понять, зачем древнему редактору понадобилось изменять его на “у Исаии пророка”, ведь такое указание не является точным (цитата в Мк. объединяет два пророческих изречения: Малах. 3:1 и Ис. 40:3). Если же предположить, что изначальным чтением было “у Исаии пророка”, из этого достаточно очевидно следует, что причиной исправления является “шероховатость” оригинала, которую редактор решил сгладить</w:t>
      </w:r>
      <w:r>
        <w:rPr>
          <w:rStyle w:val="FootnoteAnchor"/>
          <w:rFonts w:ascii="Times New Roman" w:hAnsi="Times New Roman"/>
        </w:rPr>
        <w:footnoteReference w:id="13"/>
      </w:r>
      <w:r>
        <w:rPr>
          <w:rFonts w:ascii="Times New Roman" w:hAnsi="Times New Roman"/>
        </w:rPr>
        <w:t>.</w:t>
      </w:r>
    </w:p>
    <w:p>
      <w:pPr>
        <w:pStyle w:val="TextBody"/>
        <w:bidi w:val="0"/>
        <w:spacing w:lineRule="auto" w:line="360"/>
        <w:jc w:val="both"/>
        <w:rPr>
          <w:rFonts w:ascii="Times New Roman" w:hAnsi="Times New Roman"/>
        </w:rPr>
      </w:pPr>
      <w:r>
        <w:rPr>
          <w:rFonts w:ascii="Times New Roman" w:hAnsi="Times New Roman"/>
        </w:rPr>
        <w:t>Другие примеры:</w:t>
      </w:r>
    </w:p>
    <w:p>
      <w:pPr>
        <w:pStyle w:val="TextBody"/>
        <w:numPr>
          <w:ilvl w:val="0"/>
          <w:numId w:val="2"/>
        </w:numPr>
        <w:tabs>
          <w:tab w:val="left" w:pos="0" w:leader="none"/>
        </w:tabs>
        <w:bidi w:val="0"/>
        <w:spacing w:lineRule="auto" w:line="360"/>
        <w:ind w:left="576" w:hanging="576"/>
        <w:jc w:val="both"/>
        <w:rPr>
          <w:rFonts w:ascii="Times New Roman" w:hAnsi="Times New Roman"/>
        </w:rPr>
      </w:pPr>
      <w:r>
        <w:rPr>
          <w:rFonts w:ascii="Times New Roman" w:hAnsi="Times New Roman"/>
        </w:rPr>
        <w:t>Лк 10:21. В Византийском тексте добавлено “ὁ Ἰησοῦς”. Это одно из самых многочисленных Византийских расширений (оно проясняет фразу, в которой первоначально отсутствовало подлежащее).</w:t>
      </w:r>
    </w:p>
    <w:p>
      <w:pPr>
        <w:pStyle w:val="TextBody"/>
        <w:numPr>
          <w:ilvl w:val="0"/>
          <w:numId w:val="2"/>
        </w:numPr>
        <w:tabs>
          <w:tab w:val="left" w:pos="0" w:leader="none"/>
        </w:tabs>
        <w:bidi w:val="0"/>
        <w:spacing w:lineRule="auto" w:line="360"/>
        <w:ind w:left="576" w:hanging="576"/>
        <w:jc w:val="both"/>
        <w:rPr>
          <w:rFonts w:ascii="Times New Roman" w:hAnsi="Times New Roman"/>
        </w:rPr>
      </w:pPr>
      <w:r>
        <w:rPr>
          <w:rFonts w:ascii="Times New Roman" w:hAnsi="Times New Roman"/>
        </w:rPr>
        <w:t>Лк. 10:41. В рассказе о Марфе и Марии изначальное “θορυβἀζῃ” (смущаешь криком, — др. греч.) в Византийском тексте заменено на “τυρβάζῃ” (суетишься, волнуешься, — др. греч.). В последнем случае используется более мягкий по смыслу глагол, “сглаживающий” неподобающий поступок Марфы.</w:t>
      </w:r>
    </w:p>
    <w:p>
      <w:pPr>
        <w:pStyle w:val="TextBody"/>
        <w:numPr>
          <w:ilvl w:val="0"/>
          <w:numId w:val="2"/>
        </w:numPr>
        <w:tabs>
          <w:tab w:val="left" w:pos="0" w:leader="none"/>
        </w:tabs>
        <w:bidi w:val="0"/>
        <w:spacing w:lineRule="auto" w:line="360"/>
        <w:ind w:left="576" w:hanging="576"/>
        <w:jc w:val="both"/>
        <w:rPr>
          <w:rFonts w:ascii="Times New Roman" w:hAnsi="Times New Roman"/>
        </w:rPr>
      </w:pPr>
      <w:r>
        <w:rPr>
          <w:rFonts w:ascii="Times New Roman" w:hAnsi="Times New Roman"/>
        </w:rPr>
        <w:t>Лк 11:2-4, “Отче наш”. Византийский вариант молитвы гармонизован с параллельным местом Мф 6:9-13, Александрийский же — краток и отличается от параллели в Мф. Вряд ли редактору пришло бы в голову сокращать молитву Господню, если перед ним находился подлинник, схожий с текстом Мф., а вот обратное действие, гармонизация, вполне объяснимо желанием сделать так, чтобы важнейший христианский текст выглядел единообразно у обоих Евангелистов.</w:t>
      </w:r>
    </w:p>
    <w:p>
      <w:pPr>
        <w:pStyle w:val="Firstparagraph"/>
        <w:bidi w:val="0"/>
        <w:spacing w:lineRule="auto" w:line="360"/>
        <w:jc w:val="both"/>
        <w:rPr>
          <w:rFonts w:ascii="Times New Roman" w:hAnsi="Times New Roman"/>
        </w:rPr>
      </w:pPr>
      <w:r>
        <w:rPr>
          <w:rFonts w:ascii="Times New Roman" w:hAnsi="Times New Roman"/>
        </w:rPr>
        <w:t>В большинстве таких случаев не ясно, зачем редактору могло понадобиться исправление “от сложного к простому”. В целом следует согласится с тем, что Византийский тип является развитием более древнего текста, который лучше сохранился в Александрийском и Западном типах.</w:t>
      </w:r>
    </w:p>
    <w:p>
      <w:pPr>
        <w:pStyle w:val="Heading2"/>
        <w:numPr>
          <w:ilvl w:val="1"/>
          <w:numId w:val="1"/>
        </w:numPr>
        <w:tabs>
          <w:tab w:val="left" w:pos="0" w:leader="none"/>
        </w:tabs>
        <w:bidi w:val="0"/>
        <w:spacing w:lineRule="auto" w:line="360"/>
        <w:ind w:left="0" w:hanging="0"/>
        <w:jc w:val="both"/>
        <w:rPr>
          <w:rFonts w:ascii="Times New Roman" w:hAnsi="Times New Roman"/>
        </w:rPr>
      </w:pPr>
      <w:r>
        <w:rPr>
          <w:rFonts w:ascii="Times New Roman" w:hAnsi="Times New Roman"/>
        </w:rPr>
        <w:t>Как нам относиться к разночтениям в тексте НЗ в связи с понятием богодухновенности?</w:t>
      </w:r>
    </w:p>
    <w:p>
      <w:pPr>
        <w:pStyle w:val="TextBody"/>
        <w:numPr>
          <w:ilvl w:val="0"/>
          <w:numId w:val="3"/>
        </w:numPr>
        <w:tabs>
          <w:tab w:val="left" w:pos="0" w:leader="none"/>
        </w:tabs>
        <w:bidi w:val="0"/>
        <w:spacing w:lineRule="auto" w:line="360"/>
        <w:ind w:left="576" w:hanging="576"/>
        <w:jc w:val="both"/>
        <w:rPr>
          <w:rFonts w:ascii="Times New Roman" w:hAnsi="Times New Roman"/>
        </w:rPr>
      </w:pPr>
      <w:r>
        <w:rPr>
          <w:rFonts w:ascii="Times New Roman" w:hAnsi="Times New Roman"/>
        </w:rPr>
        <w:t>Мы можем проигнорировать вышеприведенные факты и заявить: “Писание богодухновенно в том смысле, что каждая его буква сохраняется Богом. Византийская форма текста (или, как вариант, Textus Receptus) — изначальная и богодухновенная. Выводы текстуальной критики ошибочны”. Такая “пропозициональная” точка зрения примерно соответствует позиции многих защитников ВП.</w:t>
      </w:r>
    </w:p>
    <w:p>
      <w:pPr>
        <w:pStyle w:val="TextBody"/>
        <w:numPr>
          <w:ilvl w:val="0"/>
          <w:numId w:val="0"/>
        </w:numPr>
        <w:bidi w:val="0"/>
        <w:spacing w:lineRule="auto" w:line="360"/>
        <w:ind w:left="576" w:hanging="0"/>
        <w:jc w:val="both"/>
        <w:rPr>
          <w:rFonts w:ascii="Times New Roman" w:hAnsi="Times New Roman"/>
        </w:rPr>
      </w:pPr>
      <w:r>
        <w:rPr>
          <w:rFonts w:ascii="Times New Roman" w:hAnsi="Times New Roman"/>
        </w:rPr>
        <w:t>Плюсы:</w:t>
      </w:r>
    </w:p>
    <w:p>
      <w:pPr>
        <w:pStyle w:val="TextBody"/>
        <w:numPr>
          <w:ilvl w:val="0"/>
          <w:numId w:val="0"/>
        </w:numPr>
        <w:bidi w:val="0"/>
        <w:spacing w:lineRule="auto" w:line="360"/>
        <w:ind w:left="576" w:hanging="0"/>
        <w:jc w:val="both"/>
        <w:rPr>
          <w:rFonts w:ascii="Times New Roman" w:hAnsi="Times New Roman"/>
        </w:rPr>
      </w:pPr>
      <w:r>
        <w:rPr>
          <w:rFonts w:ascii="Times New Roman" w:hAnsi="Times New Roman"/>
        </w:rPr>
        <w:t>Этот подход является “простым ответом” на проблему разночтений в тексте НЗ.</w:t>
      </w:r>
    </w:p>
    <w:p>
      <w:pPr>
        <w:pStyle w:val="TextBody"/>
        <w:numPr>
          <w:ilvl w:val="0"/>
          <w:numId w:val="0"/>
        </w:numPr>
        <w:bidi w:val="0"/>
        <w:spacing w:lineRule="auto" w:line="360"/>
        <w:ind w:left="576" w:hanging="0"/>
        <w:jc w:val="both"/>
        <w:rPr>
          <w:rFonts w:ascii="Times New Roman" w:hAnsi="Times New Roman"/>
        </w:rPr>
      </w:pPr>
      <w:r>
        <w:rPr>
          <w:rFonts w:ascii="Times New Roman" w:hAnsi="Times New Roman"/>
        </w:rPr>
        <w:t>Минусы:</w:t>
      </w:r>
    </w:p>
    <w:p>
      <w:pPr>
        <w:pStyle w:val="TextBody"/>
        <w:numPr>
          <w:ilvl w:val="1"/>
          <w:numId w:val="4"/>
        </w:numPr>
        <w:tabs>
          <w:tab w:val="left" w:pos="0" w:leader="none"/>
        </w:tabs>
        <w:bidi w:val="0"/>
        <w:spacing w:lineRule="auto" w:line="360"/>
        <w:ind w:left="1152" w:hanging="576"/>
        <w:jc w:val="both"/>
        <w:rPr>
          <w:rFonts w:ascii="Times New Roman" w:hAnsi="Times New Roman"/>
        </w:rPr>
      </w:pPr>
      <w:r>
        <w:rPr>
          <w:rFonts w:ascii="Times New Roman" w:hAnsi="Times New Roman"/>
        </w:rPr>
        <w:t>Встает вопрос: какой именно текст объявляется аутентичным и богодухновенным? История христианства знает, по крайней мере, три варианта ответа на этот вопрос: Вульгата, Textus Receptus, Византийский текст большинства. В настоящее время многие протестанты поднимают на этот пьедестал критические издания Nestle-Aland’а, или UBS. Несмотря на то, что приверженцы некоторых разновидностей текста относятся к разным богословским “лагерям”, теологическая основа их убеждений одинакова и, на мой взгляд, неверна.</w:t>
      </w:r>
    </w:p>
    <w:p>
      <w:pPr>
        <w:pStyle w:val="TextBody"/>
        <w:numPr>
          <w:ilvl w:val="0"/>
          <w:numId w:val="0"/>
        </w:numPr>
        <w:bidi w:val="0"/>
        <w:spacing w:lineRule="auto" w:line="360"/>
        <w:ind w:left="1152" w:hanging="0"/>
        <w:jc w:val="both"/>
        <w:rPr>
          <w:rFonts w:ascii="Times New Roman" w:hAnsi="Times New Roman"/>
        </w:rPr>
      </w:pPr>
      <w:r>
        <w:rPr>
          <w:rFonts w:ascii="Times New Roman" w:hAnsi="Times New Roman"/>
        </w:rPr>
        <w:t>Так в свое время ошиблись католики, канонизировав Вульгату на Тридентском соборе. Когда оказалось, что этот текст во многом отличается от содержания древнейших латинских и греческих рукописей, репутации РКЦ был нанесен ущерб. Примерно та же история произошла с Textus Receptus у протестантов. Попытки доказать аутентичность Византийского текста также потерпела неудачу. Что же касается современных критических изданий, то и к ним предъявляется масса претензий (в особенности в связи с эклектичностью полученного текста). Другими словами, ни один из существующих текстов не может быть безоговорочно назван подлинным, аутентичным.</w:t>
      </w:r>
    </w:p>
    <w:p>
      <w:pPr>
        <w:pStyle w:val="TextBody"/>
        <w:numPr>
          <w:ilvl w:val="1"/>
          <w:numId w:val="4"/>
        </w:numPr>
        <w:tabs>
          <w:tab w:val="left" w:pos="0" w:leader="none"/>
        </w:tabs>
        <w:bidi w:val="0"/>
        <w:spacing w:lineRule="auto" w:line="360"/>
        <w:ind w:left="1152" w:hanging="576"/>
        <w:jc w:val="both"/>
        <w:rPr>
          <w:rFonts w:ascii="Times New Roman" w:hAnsi="Times New Roman"/>
        </w:rPr>
      </w:pPr>
      <w:r>
        <w:rPr>
          <w:rFonts w:ascii="Times New Roman" w:hAnsi="Times New Roman"/>
        </w:rPr>
        <w:t>Выбор “единственно правильного” варианта требует применения методов текстуальной критики, которую консервативный подход отрицает</w:t>
      </w:r>
      <w:r>
        <w:rPr>
          <w:rStyle w:val="FootnoteAnchor"/>
          <w:rFonts w:ascii="Times New Roman" w:hAnsi="Times New Roman"/>
        </w:rPr>
        <w:footnoteReference w:id="14"/>
      </w:r>
      <w:r>
        <w:rPr>
          <w:rFonts w:ascii="Times New Roman" w:hAnsi="Times New Roman"/>
        </w:rPr>
        <w:t xml:space="preserve">. </w:t>
      </w:r>
      <w:r>
        <w:rPr>
          <w:rFonts w:ascii="Times New Roman" w:hAnsi="Times New Roman"/>
          <w:i/>
          <w:iCs/>
        </w:rPr>
        <w:t xml:space="preserve">Каким же образом установлен текст, который считается </w:t>
      </w:r>
      <w:r>
        <w:rPr>
          <w:rFonts w:ascii="Times New Roman" w:hAnsi="Times New Roman"/>
        </w:rPr>
        <w:t>“</w:t>
      </w:r>
      <w:r>
        <w:rPr>
          <w:rFonts w:ascii="Times New Roman" w:hAnsi="Times New Roman"/>
          <w:i/>
          <w:iCs/>
        </w:rPr>
        <w:t>непогрешимым</w:t>
      </w:r>
      <w:r>
        <w:rPr>
          <w:rFonts w:ascii="Times New Roman" w:hAnsi="Times New Roman"/>
        </w:rPr>
        <w:t>”</w:t>
      </w:r>
      <w:r>
        <w:rPr>
          <w:rFonts w:ascii="Times New Roman" w:hAnsi="Times New Roman"/>
          <w:i/>
          <w:iCs/>
        </w:rPr>
        <w:t>?</w:t>
      </w:r>
      <w:r>
        <w:rPr>
          <w:rFonts w:ascii="Times New Roman" w:hAnsi="Times New Roman"/>
        </w:rPr>
        <w:t xml:space="preserve"> Критерием истинности можно объявить православную традицию, но и она менялась со временем</w:t>
      </w:r>
      <w:r>
        <w:rPr>
          <w:rStyle w:val="FootnoteAnchor"/>
          <w:rFonts w:ascii="Times New Roman" w:hAnsi="Times New Roman"/>
        </w:rPr>
        <w:footnoteReference w:id="15"/>
      </w:r>
      <w:r>
        <w:rPr>
          <w:rFonts w:ascii="Times New Roman" w:hAnsi="Times New Roman"/>
        </w:rPr>
        <w:t>, а поздний текст Византийского типа не отличается хорошей сохранностью.</w:t>
      </w:r>
    </w:p>
    <w:p>
      <w:pPr>
        <w:pStyle w:val="TextBody"/>
        <w:numPr>
          <w:ilvl w:val="1"/>
          <w:numId w:val="4"/>
        </w:numPr>
        <w:tabs>
          <w:tab w:val="left" w:pos="0" w:leader="none"/>
        </w:tabs>
        <w:bidi w:val="0"/>
        <w:spacing w:lineRule="auto" w:line="360"/>
        <w:ind w:left="1152" w:hanging="576"/>
        <w:jc w:val="both"/>
        <w:rPr>
          <w:rFonts w:ascii="Times New Roman" w:hAnsi="Times New Roman"/>
        </w:rPr>
      </w:pPr>
      <w:r>
        <w:rPr>
          <w:rFonts w:ascii="Times New Roman" w:hAnsi="Times New Roman"/>
        </w:rPr>
        <w:t xml:space="preserve">Сторонниками ВП не была создана убедительная экзегеза тех мест Священного Писания, на которые они опираются в попытке доказать неизменность Библии. Необходимо показать, что “единая черта” (Мф. 5:18; Лк 16:17) относится именно к </w:t>
      </w:r>
      <w:r>
        <w:rPr>
          <w:rFonts w:ascii="Times New Roman" w:hAnsi="Times New Roman"/>
          <w:i/>
          <w:iCs/>
        </w:rPr>
        <w:t>тексту</w:t>
      </w:r>
      <w:r>
        <w:rPr>
          <w:rFonts w:ascii="Times New Roman" w:hAnsi="Times New Roman"/>
        </w:rPr>
        <w:t xml:space="preserve"> Священного Писания, а не к Откровению в широком смысле</w:t>
      </w:r>
      <w:r>
        <w:rPr>
          <w:rStyle w:val="FootnoteAnchor"/>
          <w:rFonts w:ascii="Times New Roman" w:hAnsi="Times New Roman"/>
        </w:rPr>
        <w:footnoteReference w:id="16"/>
      </w:r>
      <w:r>
        <w:rPr>
          <w:rFonts w:ascii="Times New Roman" w:hAnsi="Times New Roman"/>
        </w:rPr>
        <w:t>. Второй момент: если идею о неизменности текста еще можно применить к НЗ, она неприменима к Ветхому: в ряде случаев восстановить изначальный вид текста просто невозможно</w:t>
      </w:r>
      <w:r>
        <w:rPr>
          <w:rStyle w:val="FootnoteAnchor"/>
          <w:rFonts w:ascii="Times New Roman" w:hAnsi="Times New Roman"/>
        </w:rPr>
        <w:footnoteReference w:id="17"/>
      </w:r>
      <w:r>
        <w:rPr>
          <w:rFonts w:ascii="Times New Roman" w:hAnsi="Times New Roman"/>
        </w:rPr>
        <w:t>.</w:t>
      </w:r>
    </w:p>
    <w:p>
      <w:pPr>
        <w:pStyle w:val="TextBody"/>
        <w:numPr>
          <w:ilvl w:val="0"/>
          <w:numId w:val="0"/>
        </w:numPr>
        <w:bidi w:val="0"/>
        <w:spacing w:lineRule="auto" w:line="360"/>
        <w:ind w:left="576" w:hanging="0"/>
        <w:jc w:val="both"/>
        <w:rPr>
          <w:rFonts w:ascii="Times New Roman" w:hAnsi="Times New Roman"/>
        </w:rPr>
      </w:pPr>
      <w:r>
        <w:rPr>
          <w:rFonts w:ascii="Times New Roman" w:hAnsi="Times New Roman"/>
        </w:rPr>
        <w:t>Итак, настаивать на неизменности “буквы” Откровения — плохая идея. Особенно она опасна в век доступных источников (в частности, электронных копий рукописей). Позиция упорного отрицания этих данных приводит к дискредитации христианства.</w:t>
      </w:r>
    </w:p>
    <w:p>
      <w:pPr>
        <w:pStyle w:val="TextBody"/>
        <w:numPr>
          <w:ilvl w:val="0"/>
          <w:numId w:val="0"/>
        </w:numPr>
        <w:bidi w:val="0"/>
        <w:spacing w:lineRule="auto" w:line="360"/>
        <w:ind w:left="576" w:hanging="0"/>
        <w:jc w:val="both"/>
        <w:rPr>
          <w:rFonts w:ascii="Times New Roman" w:hAnsi="Times New Roman"/>
        </w:rPr>
      </w:pPr>
      <w:r>
        <w:rPr>
          <w:rFonts w:ascii="Times New Roman" w:hAnsi="Times New Roman"/>
        </w:rPr>
        <w:t>Другим крайним следствием буквализма в отношении Открования является разочарование в богодухновенности Писания. Вера христианина, убежденного в неизменности текста НЗ, может подвергнуться серьезному испытанию в том случае, если он сталкивается с многообразием вариантов текста в рукописях. Ход мысли может привести его к тому, что Бог, допустивший утрату Откровения в его изначальной форме, относится к такому положению дел совершенно безразлично и, скорее всего, вообще не имеет отношения к текстам, которые считаются священными. Примерно так выглядят рассуждения Барта Эрмана, впавшего из одной крайности в другую: разочаровавшись в библейском буквализме, он сделался агностиком.</w:t>
      </w:r>
    </w:p>
    <w:p>
      <w:pPr>
        <w:pStyle w:val="TextBody"/>
        <w:numPr>
          <w:ilvl w:val="0"/>
          <w:numId w:val="3"/>
        </w:numPr>
        <w:tabs>
          <w:tab w:val="left" w:pos="0" w:leader="none"/>
        </w:tabs>
        <w:bidi w:val="0"/>
        <w:spacing w:lineRule="auto" w:line="360"/>
        <w:ind w:left="576" w:hanging="576"/>
        <w:jc w:val="both"/>
        <w:rPr>
          <w:rFonts w:ascii="Times New Roman" w:hAnsi="Times New Roman"/>
        </w:rPr>
      </w:pPr>
      <w:r>
        <w:rPr>
          <w:rFonts w:ascii="Times New Roman" w:hAnsi="Times New Roman"/>
        </w:rPr>
        <w:t>Мы можем избрать более конструктивную позицию: “текст Писания — отклик человека на встречу с Богом. Формулировки текста и язык Откровения имеют второстепенное значение”.</w:t>
      </w:r>
    </w:p>
    <w:p>
      <w:pPr>
        <w:pStyle w:val="TextBody"/>
        <w:numPr>
          <w:ilvl w:val="0"/>
          <w:numId w:val="0"/>
        </w:numPr>
        <w:bidi w:val="0"/>
        <w:spacing w:lineRule="auto" w:line="360"/>
        <w:ind w:left="576" w:hanging="0"/>
        <w:jc w:val="both"/>
        <w:rPr>
          <w:rFonts w:ascii="Times New Roman" w:hAnsi="Times New Roman"/>
        </w:rPr>
      </w:pPr>
      <w:r>
        <w:rPr>
          <w:rFonts w:ascii="Times New Roman" w:hAnsi="Times New Roman"/>
        </w:rPr>
        <w:t>Плюсы:</w:t>
      </w:r>
    </w:p>
    <w:p>
      <w:pPr>
        <w:pStyle w:val="TextBody"/>
        <w:numPr>
          <w:ilvl w:val="1"/>
          <w:numId w:val="5"/>
        </w:numPr>
        <w:tabs>
          <w:tab w:val="left" w:pos="0" w:leader="none"/>
        </w:tabs>
        <w:bidi w:val="0"/>
        <w:spacing w:lineRule="auto" w:line="360"/>
        <w:ind w:left="1152" w:hanging="576"/>
        <w:jc w:val="both"/>
        <w:rPr>
          <w:rFonts w:ascii="Times New Roman" w:hAnsi="Times New Roman"/>
        </w:rPr>
      </w:pPr>
      <w:r>
        <w:rPr>
          <w:rFonts w:ascii="Times New Roman" w:hAnsi="Times New Roman"/>
        </w:rPr>
        <w:t>Этот взгляд на Писание, который можно назвать “непропозициональным”, позволяет богослову учитывать данные научных исследований. Оставляя за бортом буквалистский подход, мы освобождаемся от теоретический положений, которые расходятся с реальностью.</w:t>
      </w:r>
    </w:p>
    <w:p>
      <w:pPr>
        <w:pStyle w:val="TextBody"/>
        <w:numPr>
          <w:ilvl w:val="1"/>
          <w:numId w:val="5"/>
        </w:numPr>
        <w:tabs>
          <w:tab w:val="left" w:pos="0" w:leader="none"/>
        </w:tabs>
        <w:bidi w:val="0"/>
        <w:spacing w:lineRule="auto" w:line="360"/>
        <w:ind w:left="1152" w:hanging="576"/>
        <w:jc w:val="both"/>
        <w:rPr>
          <w:rFonts w:ascii="Times New Roman" w:hAnsi="Times New Roman"/>
        </w:rPr>
      </w:pPr>
      <w:r>
        <w:rPr>
          <w:rFonts w:ascii="Times New Roman" w:hAnsi="Times New Roman"/>
        </w:rPr>
        <w:t>Непропозициональный подход дает место синергии Бога и человека, а не настаивает на том, что книги Писания — всецело человеческое, или полностью божественное творение. Бог смиряется с человеческой немощью так же, как и в Воплощении. Ему не нужна “непогрешимая буква” для того, чтобы сохранить смысл Своего слова. В противном случае неясно, как объяснить расхождение Евангелистов в описании одних и тех же событий. Бог “по ошибке” продиктовал им разные тексты</w:t>
      </w:r>
      <w:r>
        <w:rPr>
          <w:rStyle w:val="FootnoteAnchor"/>
          <w:rFonts w:ascii="Times New Roman" w:hAnsi="Times New Roman"/>
        </w:rPr>
        <w:footnoteReference w:id="18"/>
      </w:r>
      <w:r>
        <w:rPr>
          <w:rFonts w:ascii="Times New Roman" w:hAnsi="Times New Roman"/>
        </w:rPr>
        <w:t>?</w:t>
      </w:r>
    </w:p>
    <w:p>
      <w:pPr>
        <w:pStyle w:val="TextBody"/>
        <w:numPr>
          <w:ilvl w:val="0"/>
          <w:numId w:val="0"/>
        </w:numPr>
        <w:bidi w:val="0"/>
        <w:spacing w:lineRule="auto" w:line="360"/>
        <w:ind w:left="576" w:hanging="0"/>
        <w:jc w:val="both"/>
        <w:rPr>
          <w:rFonts w:ascii="Times New Roman" w:hAnsi="Times New Roman"/>
        </w:rPr>
      </w:pPr>
      <w:r>
        <w:rPr>
          <w:rFonts w:ascii="Times New Roman" w:hAnsi="Times New Roman"/>
        </w:rPr>
        <w:t>Минусы:</w:t>
      </w:r>
    </w:p>
    <w:p>
      <w:pPr>
        <w:pStyle w:val="TextBody"/>
        <w:numPr>
          <w:ilvl w:val="1"/>
          <w:numId w:val="9"/>
        </w:numPr>
        <w:tabs>
          <w:tab w:val="left" w:pos="0" w:leader="none"/>
        </w:tabs>
        <w:bidi w:val="0"/>
        <w:spacing w:lineRule="auto" w:line="360"/>
        <w:ind w:left="1152" w:hanging="576"/>
        <w:jc w:val="both"/>
        <w:rPr>
          <w:rFonts w:ascii="Times New Roman" w:hAnsi="Times New Roman"/>
        </w:rPr>
      </w:pPr>
      <w:r>
        <w:rPr>
          <w:rFonts w:ascii="Times New Roman" w:hAnsi="Times New Roman"/>
        </w:rPr>
        <w:t>В каком-то смысле непропозициональный метод можно было бы назвать компромиссом под давлением науки.</w:t>
      </w:r>
    </w:p>
    <w:p>
      <w:pPr>
        <w:pStyle w:val="TextBody"/>
        <w:numPr>
          <w:ilvl w:val="0"/>
          <w:numId w:val="0"/>
        </w:numPr>
        <w:bidi w:val="0"/>
        <w:spacing w:lineRule="auto" w:line="360"/>
        <w:ind w:left="1152" w:hanging="0"/>
        <w:jc w:val="both"/>
        <w:rPr>
          <w:rFonts w:ascii="Times New Roman" w:hAnsi="Times New Roman"/>
        </w:rPr>
      </w:pPr>
      <w:r>
        <w:rPr>
          <w:rFonts w:ascii="Times New Roman" w:hAnsi="Times New Roman"/>
        </w:rPr>
        <w:t>Однако, по-моему, нет ничего постыдного или унизительного в том, что религиозное мировоззрение учитывает мнение ученых, относящ</w:t>
      </w:r>
      <w:r>
        <w:rPr>
          <w:rFonts w:ascii="Times New Roman" w:hAnsi="Times New Roman"/>
        </w:rPr>
        <w:t>е</w:t>
      </w:r>
      <w:r>
        <w:rPr>
          <w:rFonts w:ascii="Times New Roman" w:hAnsi="Times New Roman"/>
        </w:rPr>
        <w:t>еся к регулярным, повторяемым событиям в материальном мире. Разумеется, необходимо проявлять в этом осторожность и воздерживаться от крайних суждений. Здравым решением было бы сочетание непропозициональной точки зрения (“опытной” и исторической) с элементами умеренно пропозиционального метода</w:t>
      </w:r>
      <w:r>
        <w:rPr>
          <w:rStyle w:val="FootnoteAnchor"/>
          <w:rFonts w:ascii="Times New Roman" w:hAnsi="Times New Roman"/>
        </w:rPr>
        <w:footnoteReference w:id="19"/>
      </w:r>
      <w:r>
        <w:rPr>
          <w:rFonts w:ascii="Times New Roman" w:hAnsi="Times New Roman"/>
        </w:rPr>
        <w:t>.</w:t>
      </w:r>
    </w:p>
    <w:p>
      <w:pPr>
        <w:pStyle w:val="TextBody"/>
        <w:numPr>
          <w:ilvl w:val="1"/>
          <w:numId w:val="9"/>
        </w:numPr>
        <w:tabs>
          <w:tab w:val="left" w:pos="0" w:leader="none"/>
        </w:tabs>
        <w:bidi w:val="0"/>
        <w:spacing w:lineRule="auto" w:line="360"/>
        <w:ind w:left="1152" w:hanging="576"/>
        <w:jc w:val="both"/>
        <w:rPr>
          <w:rFonts w:ascii="Times New Roman" w:hAnsi="Times New Roman"/>
        </w:rPr>
      </w:pPr>
      <w:r>
        <w:rPr>
          <w:rFonts w:ascii="Times New Roman" w:hAnsi="Times New Roman"/>
        </w:rPr>
        <w:t>Богослов, принимающий, что текст НЗ со временем изменялся, должен ответить на вопрос: какие исправления должны быть приняты Церковью, а какие — отвергнуты? Каков критерий рецепции?</w:t>
      </w:r>
    </w:p>
    <w:p>
      <w:pPr>
        <w:pStyle w:val="TextBody"/>
        <w:numPr>
          <w:ilvl w:val="0"/>
          <w:numId w:val="0"/>
        </w:numPr>
        <w:bidi w:val="0"/>
        <w:spacing w:lineRule="auto" w:line="360"/>
        <w:ind w:left="1152" w:hanging="0"/>
        <w:jc w:val="both"/>
        <w:rPr>
          <w:rFonts w:ascii="Times New Roman" w:hAnsi="Times New Roman"/>
        </w:rPr>
      </w:pPr>
      <w:r>
        <w:rPr>
          <w:rFonts w:ascii="Times New Roman" w:hAnsi="Times New Roman"/>
        </w:rPr>
        <w:t>Очень показательным является литургический аспект. Если Comma Iohanneum (1 Ин. 5:7-8) уже давно признана неаутентичной</w:t>
      </w:r>
      <w:r>
        <w:rPr>
          <w:rStyle w:val="FootnoteAnchor"/>
          <w:rFonts w:ascii="Times New Roman" w:hAnsi="Times New Roman"/>
        </w:rPr>
        <w:footnoteReference w:id="20"/>
      </w:r>
      <w:r>
        <w:rPr>
          <w:rFonts w:ascii="Times New Roman" w:hAnsi="Times New Roman"/>
        </w:rPr>
        <w:t>, то как быть с погружающимся в купель ангелом (Ин. 5:3b-4)? Данный текст вызывает серьезные сомнения в подлинности, но является одним из самых часто читаемых в Церкви отрывков Писания. Пространное окончание Марка (Мк. 16:9-19) также укоренено в литургической традиции Церкви и составляет одно из чтений на воскресной утрени, но его аутентичность также отвергается большинством исследователей.</w:t>
      </w:r>
    </w:p>
    <w:p>
      <w:pPr>
        <w:pStyle w:val="TextBody"/>
        <w:numPr>
          <w:ilvl w:val="0"/>
          <w:numId w:val="0"/>
        </w:numPr>
        <w:bidi w:val="0"/>
        <w:spacing w:lineRule="auto" w:line="360"/>
        <w:ind w:left="1152" w:hanging="0"/>
        <w:jc w:val="both"/>
        <w:rPr>
          <w:rFonts w:ascii="Times New Roman" w:hAnsi="Times New Roman"/>
        </w:rPr>
      </w:pPr>
      <w:r>
        <w:rPr>
          <w:rFonts w:ascii="Times New Roman" w:hAnsi="Times New Roman"/>
        </w:rPr>
        <w:t>Как же следует поступить в сомнительных случаях?</w:t>
      </w:r>
    </w:p>
    <w:p>
      <w:pPr>
        <w:pStyle w:val="TextBody"/>
        <w:numPr>
          <w:ilvl w:val="2"/>
          <w:numId w:val="7"/>
        </w:numPr>
        <w:bidi w:val="0"/>
        <w:spacing w:lineRule="auto" w:line="360"/>
        <w:jc w:val="both"/>
        <w:rPr>
          <w:rFonts w:ascii="Times New Roman" w:hAnsi="Times New Roman"/>
        </w:rPr>
      </w:pPr>
      <w:r>
        <w:rPr>
          <w:rFonts w:ascii="Times New Roman" w:hAnsi="Times New Roman"/>
        </w:rPr>
        <w:t>Радикальным решением было бы выведение из литургической практики чтений, которые очевидно не являются оригинальными, не обращая внимание на их укорененность в традиции. Например, отказ от литургического употребления “Перикопы прелюбодейки” (Pericope Adulterae, Ин. 7:53-8:11) имеет некоторые основания в древнерусской богослужебной практике</w:t>
      </w:r>
      <w:r>
        <w:rPr>
          <w:rStyle w:val="FootnoteAnchor"/>
          <w:rFonts w:ascii="Times New Roman" w:hAnsi="Times New Roman"/>
        </w:rPr>
        <w:footnoteReference w:id="21"/>
      </w:r>
      <w:r>
        <w:rPr>
          <w:rFonts w:ascii="Times New Roman" w:hAnsi="Times New Roman"/>
        </w:rPr>
        <w:t>.</w:t>
      </w:r>
    </w:p>
    <w:p>
      <w:pPr>
        <w:pStyle w:val="TextBody"/>
        <w:numPr>
          <w:ilvl w:val="2"/>
          <w:numId w:val="7"/>
        </w:numPr>
        <w:bidi w:val="0"/>
        <w:spacing w:lineRule="auto" w:line="360"/>
        <w:jc w:val="both"/>
        <w:rPr>
          <w:rFonts w:ascii="Times New Roman" w:hAnsi="Times New Roman"/>
        </w:rPr>
      </w:pPr>
      <w:r>
        <w:rPr>
          <w:rFonts w:ascii="Times New Roman" w:hAnsi="Times New Roman"/>
        </w:rPr>
        <w:t>Бережное отношение к Преданию подсказывает другой вариант: введение дополнительных, альтернативных чтений для каждого сомнительного случая</w:t>
      </w:r>
      <w:r>
        <w:rPr>
          <w:rStyle w:val="FootnoteAnchor"/>
          <w:rFonts w:ascii="Times New Roman" w:hAnsi="Times New Roman"/>
        </w:rPr>
        <w:footnoteReference w:id="22"/>
      </w:r>
      <w:r>
        <w:rPr>
          <w:rFonts w:ascii="Times New Roman" w:hAnsi="Times New Roman"/>
        </w:rPr>
        <w:t>.</w:t>
      </w:r>
    </w:p>
    <w:p>
      <w:pPr>
        <w:pStyle w:val="TextBody"/>
        <w:numPr>
          <w:ilvl w:val="2"/>
          <w:numId w:val="7"/>
        </w:numPr>
        <w:bidi w:val="0"/>
        <w:spacing w:lineRule="auto" w:line="360"/>
        <w:jc w:val="both"/>
        <w:rPr>
          <w:rFonts w:ascii="Times New Roman" w:hAnsi="Times New Roman"/>
        </w:rPr>
      </w:pPr>
      <w:r>
        <w:rPr>
          <w:rFonts w:ascii="Times New Roman" w:hAnsi="Times New Roman"/>
        </w:rPr>
        <w:t xml:space="preserve">Еще более консервативное решение — оставить литургические чтения без изменений. Но в этом случае разобщенность между тем, что мы считаем “аутентичным” текстом и тем, что читается на Богослужении, заставляет подумать о некоей </w:t>
      </w:r>
      <w:r>
        <w:rPr>
          <w:rFonts w:ascii="Times New Roman" w:hAnsi="Times New Roman"/>
          <w:i/>
          <w:iCs/>
        </w:rPr>
        <w:t>объединительной концепции</w:t>
      </w:r>
      <w:r>
        <w:rPr>
          <w:rFonts w:ascii="Times New Roman" w:hAnsi="Times New Roman"/>
        </w:rPr>
        <w:t>.</w:t>
      </w:r>
    </w:p>
    <w:p>
      <w:pPr>
        <w:pStyle w:val="TextBody"/>
        <w:numPr>
          <w:ilvl w:val="0"/>
          <w:numId w:val="0"/>
        </w:numPr>
        <w:bidi w:val="0"/>
        <w:spacing w:lineRule="auto" w:line="360"/>
        <w:ind w:left="1152" w:hanging="0"/>
        <w:jc w:val="both"/>
        <w:rPr>
          <w:rFonts w:ascii="Times New Roman" w:hAnsi="Times New Roman"/>
        </w:rPr>
      </w:pPr>
      <w:r>
        <w:rPr>
          <w:rFonts w:ascii="Times New Roman" w:hAnsi="Times New Roman"/>
        </w:rPr>
        <w:t>Например, можно рассматривать НЗ как общность всех типов текста. Такой подход позволяет взглянуть на Священное Писание с самых разных сторон и составить более полное впечатление о взаимном влиянии традиции христианской общины и текста, которым она пользуется.</w:t>
      </w:r>
    </w:p>
    <w:p>
      <w:pPr>
        <w:pStyle w:val="TextBody"/>
        <w:numPr>
          <w:ilvl w:val="0"/>
          <w:numId w:val="0"/>
        </w:numPr>
        <w:bidi w:val="0"/>
        <w:spacing w:lineRule="auto" w:line="360"/>
        <w:ind w:left="1152" w:hanging="0"/>
        <w:jc w:val="both"/>
        <w:rPr>
          <w:rFonts w:ascii="Times New Roman" w:hAnsi="Times New Roman"/>
        </w:rPr>
      </w:pPr>
      <w:r>
        <w:rPr>
          <w:rFonts w:ascii="Times New Roman" w:hAnsi="Times New Roman"/>
        </w:rPr>
        <w:t>Все это относится не только к научной стороне вопроса, но и к духовной. Являясь частью Предания, Священный текст обогащался опытом Церкви. К таким изменениям не стоит относиться как бесполезным, или даже вредным. Например, известная “монашеская” правка во фразе: “и сказал им: сей род не может выйти иначе, как от молитвы [и поста]” (Мк. 9:29) для ученого-критика являются недопустимым искажением древнего оригинала. Но для православного верующего это дополнение исполнено глубокого смысла, ведь молитва становится особенно действенной именно в соединении с постом. Можно сказать, что эта Евангельская мысль на определенном этапе раскрылась полнее, Церковь взглянула на нее с точки зрения своего аскетического опыта, подвижнической жизни пустынных отцов.</w:t>
      </w:r>
    </w:p>
    <w:p>
      <w:pPr>
        <w:pStyle w:val="TextBody"/>
        <w:numPr>
          <w:ilvl w:val="0"/>
          <w:numId w:val="0"/>
        </w:numPr>
        <w:bidi w:val="0"/>
        <w:spacing w:lineRule="auto" w:line="360"/>
        <w:ind w:left="1152" w:hanging="0"/>
        <w:jc w:val="both"/>
        <w:rPr>
          <w:rFonts w:ascii="Times New Roman" w:hAnsi="Times New Roman"/>
        </w:rPr>
      </w:pPr>
      <w:r>
        <w:rPr>
          <w:rFonts w:ascii="Times New Roman" w:hAnsi="Times New Roman"/>
        </w:rPr>
        <w:t>В других случаях мы имеем дело с объясняющими вставками, которые не ухудшают, а улучшают наше понимание того, или иного стиха. Например, в Византийском тексте Евангелий часто встречается добавление имени “Иисус” в предложениях, излагающих речь, или действия Господа, как в примере (1). В результате текст становится яснее грамматически, при этом ничего не теряя в смысловом отношении.</w:t>
      </w:r>
    </w:p>
    <w:p>
      <w:pPr>
        <w:pStyle w:val="TextBody"/>
        <w:numPr>
          <w:ilvl w:val="0"/>
          <w:numId w:val="0"/>
        </w:numPr>
        <w:bidi w:val="0"/>
        <w:spacing w:lineRule="auto" w:line="360"/>
        <w:ind w:left="1152" w:hanging="0"/>
        <w:jc w:val="both"/>
        <w:rPr>
          <w:rFonts w:ascii="Times New Roman" w:hAnsi="Times New Roman"/>
        </w:rPr>
      </w:pPr>
      <w:r>
        <w:rPr>
          <w:rFonts w:ascii="Times New Roman" w:hAnsi="Times New Roman"/>
        </w:rPr>
        <w:t>Встречаются случаи “смягчающей”, благочестивой правки, как в примере (2), описывающем шумное поведение Марфы (Лк. 10:41). Но разве с точки зрения христианина благочестивая правка делает текст хуже?</w:t>
      </w:r>
    </w:p>
    <w:p>
      <w:pPr>
        <w:pStyle w:val="TextBody"/>
        <w:numPr>
          <w:ilvl w:val="0"/>
          <w:numId w:val="0"/>
        </w:numPr>
        <w:bidi w:val="0"/>
        <w:spacing w:lineRule="auto" w:line="360"/>
        <w:ind w:left="1152" w:hanging="0"/>
        <w:jc w:val="both"/>
        <w:rPr>
          <w:rFonts w:ascii="Times New Roman" w:hAnsi="Times New Roman"/>
        </w:rPr>
      </w:pPr>
      <w:r>
        <w:rPr>
          <w:rFonts w:ascii="Times New Roman" w:hAnsi="Times New Roman"/>
        </w:rPr>
        <w:t>В свете сказанного, мне кажутся важными оба подхода: и попытки понять как изначально выглядел текст НЗ, и его оценка в контексте жизни Церкви, в исторической, литургической, экзегетической перспективе.</w:t>
      </w:r>
    </w:p>
    <w:p>
      <w:pPr>
        <w:pStyle w:val="Heading2"/>
        <w:numPr>
          <w:ilvl w:val="1"/>
          <w:numId w:val="1"/>
        </w:numPr>
        <w:tabs>
          <w:tab w:val="left" w:pos="0" w:leader="none"/>
        </w:tabs>
        <w:bidi w:val="0"/>
        <w:spacing w:lineRule="auto" w:line="360"/>
        <w:ind w:left="0" w:hanging="0"/>
        <w:jc w:val="both"/>
        <w:rPr>
          <w:rFonts w:ascii="Times New Roman" w:hAnsi="Times New Roman"/>
        </w:rPr>
      </w:pPr>
      <w:r>
        <w:rPr>
          <w:rFonts w:ascii="Times New Roman" w:hAnsi="Times New Roman"/>
        </w:rPr>
        <w:t>Заключение.</w:t>
      </w:r>
    </w:p>
    <w:p>
      <w:pPr>
        <w:pStyle w:val="TextBody"/>
        <w:numPr>
          <w:ilvl w:val="0"/>
          <w:numId w:val="8"/>
        </w:numPr>
        <w:tabs>
          <w:tab w:val="left" w:pos="0" w:leader="none"/>
        </w:tabs>
        <w:bidi w:val="0"/>
        <w:spacing w:lineRule="auto" w:line="360"/>
        <w:ind w:left="576" w:hanging="576"/>
        <w:jc w:val="both"/>
        <w:rPr>
          <w:rFonts w:ascii="Times New Roman" w:hAnsi="Times New Roman"/>
        </w:rPr>
      </w:pPr>
      <w:r>
        <w:rPr>
          <w:rFonts w:ascii="Times New Roman" w:hAnsi="Times New Roman"/>
        </w:rPr>
        <w:t>Каким бы ни было отношение православных богословов к тексту НЗ, они всегда должны иметь в виду апологетическую составляющую. Сегодня, когда серьезными тиражами издаются переводы книг Б. Эрмана и других критиков христианского Откровения, нельзя игнорировать проблемы, связанные с поздним характером некоторых чтений, принятых в традиции.</w:t>
      </w:r>
    </w:p>
    <w:p>
      <w:pPr>
        <w:pStyle w:val="TextBody"/>
        <w:numPr>
          <w:ilvl w:val="0"/>
          <w:numId w:val="8"/>
        </w:numPr>
        <w:tabs>
          <w:tab w:val="left" w:pos="0" w:leader="none"/>
        </w:tabs>
        <w:bidi w:val="0"/>
        <w:spacing w:lineRule="auto" w:line="360"/>
        <w:ind w:left="576" w:hanging="576"/>
        <w:jc w:val="both"/>
        <w:rPr>
          <w:rFonts w:ascii="Times New Roman" w:hAnsi="Times New Roman"/>
        </w:rPr>
      </w:pPr>
      <w:r>
        <w:rPr>
          <w:rFonts w:ascii="Times New Roman" w:hAnsi="Times New Roman"/>
        </w:rPr>
        <w:t>Для православного богослова очевидно, что Священное Писание существует в контексте Священного Предания, а не само по себе (Sola Scriptura). Следовательно, будет ошибкой принять за основу ряд рукописей (древних, или более поздних) и объявить, что полученный на их основе текст является подлинным, а значит — богодухновенным. Такой подход в принципе неверен, ведь вдохновляющее действие Бога не прекратилось сразу после того, как высохла последняя капля чернил на папирусе, содержавшем оригинал Откровения Иоанна Богослова.</w:t>
      </w:r>
    </w:p>
    <w:p>
      <w:pPr>
        <w:pStyle w:val="TextBody"/>
        <w:numPr>
          <w:ilvl w:val="0"/>
          <w:numId w:val="0"/>
        </w:numPr>
        <w:bidi w:val="0"/>
        <w:spacing w:lineRule="auto" w:line="360"/>
        <w:ind w:left="576" w:hanging="0"/>
        <w:jc w:val="both"/>
        <w:rPr>
          <w:rFonts w:ascii="Times New Roman" w:hAnsi="Times New Roman"/>
        </w:rPr>
      </w:pPr>
      <w:r>
        <w:rPr>
          <w:rFonts w:ascii="Times New Roman" w:hAnsi="Times New Roman"/>
        </w:rPr>
        <w:t>Священное Писание никогда не бывает в точности одинаковым, передающим единственный смысл, потому что это не только текст, который был однажды записан, но который читается, интерпретируется, проживается тысячами христиан на протяжении сотен лет. Неудивительно, что сама жизнь христианской общины может изменять букву Писания (это касается и переводов).</w:t>
      </w:r>
    </w:p>
    <w:p>
      <w:pPr>
        <w:pStyle w:val="TextBody"/>
        <w:numPr>
          <w:ilvl w:val="0"/>
          <w:numId w:val="8"/>
        </w:numPr>
        <w:tabs>
          <w:tab w:val="left" w:pos="0" w:leader="none"/>
        </w:tabs>
        <w:bidi w:val="0"/>
        <w:spacing w:lineRule="auto" w:line="360"/>
        <w:ind w:left="576" w:hanging="576"/>
        <w:jc w:val="both"/>
        <w:rPr>
          <w:rFonts w:ascii="Times New Roman" w:hAnsi="Times New Roman"/>
        </w:rPr>
      </w:pPr>
      <w:r>
        <w:rPr>
          <w:rFonts w:ascii="Times New Roman" w:hAnsi="Times New Roman"/>
        </w:rPr>
        <w:t>Впрочем, эти изменения не бывают произвольными. Хотя Барт Эрман нашел в рукописях множество правок, которые он называет “ортодоксальными” (то есть, якобы сделанными рукой “злонамеренных” православных редакторов)</w:t>
      </w:r>
      <w:r>
        <w:rPr>
          <w:rStyle w:val="FootnoteAnchor"/>
          <w:rFonts w:ascii="Times New Roman" w:hAnsi="Times New Roman"/>
        </w:rPr>
        <w:footnoteReference w:id="23"/>
      </w:r>
      <w:r>
        <w:rPr>
          <w:rFonts w:ascii="Times New Roman" w:hAnsi="Times New Roman"/>
        </w:rPr>
        <w:t>, большинство этих исправледний не были восприняты церковной традицией. На мой взгляд, в результате этих усилий ученого получился довольно забавный оксюморон: “ортодоксальные исправления”, отвергнутые ортодоксами.</w:t>
      </w:r>
    </w:p>
    <w:p>
      <w:pPr>
        <w:pStyle w:val="TextBody"/>
        <w:numPr>
          <w:ilvl w:val="0"/>
          <w:numId w:val="8"/>
        </w:numPr>
        <w:tabs>
          <w:tab w:val="left" w:pos="0" w:leader="none"/>
        </w:tabs>
        <w:bidi w:val="0"/>
        <w:spacing w:lineRule="auto" w:line="360"/>
        <w:ind w:left="576" w:hanging="576"/>
        <w:jc w:val="both"/>
        <w:rPr>
          <w:rFonts w:ascii="Times New Roman" w:hAnsi="Times New Roman"/>
        </w:rPr>
      </w:pPr>
      <w:r>
        <w:rPr>
          <w:rFonts w:ascii="Times New Roman" w:hAnsi="Times New Roman"/>
        </w:rPr>
        <w:t>Благодаря достижениям текстологии наш взгляд на Библию в каком-то смысле десакрализировался. Мы узнали о том, в каких формах и по каким естественным законам существовал ее текст. Но я не думаю, что Бог полностью предоставил людям все, что касается сохранения и изменения Своего слова.</w:t>
      </w:r>
    </w:p>
    <w:p>
      <w:pPr>
        <w:pStyle w:val="TextBody"/>
        <w:numPr>
          <w:ilvl w:val="0"/>
          <w:numId w:val="0"/>
        </w:numPr>
        <w:bidi w:val="0"/>
        <w:spacing w:lineRule="auto" w:line="360"/>
        <w:ind w:left="576" w:hanging="0"/>
        <w:jc w:val="both"/>
        <w:rPr>
          <w:rFonts w:ascii="Times New Roman" w:hAnsi="Times New Roman"/>
        </w:rPr>
      </w:pPr>
      <w:r>
        <w:rPr>
          <w:rFonts w:ascii="Times New Roman" w:hAnsi="Times New Roman"/>
        </w:rPr>
        <w:t>Не случайно такое важное место в истории текста НЗ занимают Византийские рукописи. Византийский тип текста, хотя он и является поздним, доминировал в Восточной Церкви на протяжении более тысячи лет. На мой взгляд это не может быть случайным обстоятельством, но заслуживает нашего пристального внимания, а сам текст — соответствующего отношения. Вместе с тем, как уже говорилось, “канонизация” одного единственного типа текста (Византийского, критического или какого-то другого) — путь, уводящий от истины. Непротиворечивый взгляд на НЗ должен включать и критическую реконструкцию изначальной формы текста, и его зрелую форму в виде текста большинства, и другие формы, существовавшие в разных местных традициях, переводах и писаниях отцов.</w:t>
      </w:r>
    </w:p>
    <w:p>
      <w:pPr>
        <w:pStyle w:val="TextBody"/>
        <w:numPr>
          <w:ilvl w:val="0"/>
          <w:numId w:val="8"/>
        </w:numPr>
        <w:tabs>
          <w:tab w:val="left" w:pos="0" w:leader="none"/>
        </w:tabs>
        <w:bidi w:val="0"/>
        <w:spacing w:lineRule="auto" w:line="360"/>
        <w:ind w:left="576" w:hanging="576"/>
        <w:jc w:val="both"/>
        <w:rPr>
          <w:rFonts w:ascii="Times New Roman" w:hAnsi="Times New Roman"/>
        </w:rPr>
      </w:pPr>
      <w:r>
        <w:rPr>
          <w:rFonts w:ascii="Times New Roman" w:hAnsi="Times New Roman"/>
        </w:rPr>
        <w:t>Несмотря на то, что Византийский текст не может рассматриваться в качестве “апостольского оригинала”, его положение в церковной традиции позволяет относиться к нему как к основному критерию рецепции тех, или иных чтений в богослужебной практике</w:t>
      </w:r>
      <w:r>
        <w:rPr>
          <w:rStyle w:val="FootnoteAnchor"/>
          <w:rFonts w:ascii="Times New Roman" w:hAnsi="Times New Roman"/>
        </w:rPr>
        <w:footnoteReference w:id="24"/>
      </w:r>
      <w:r>
        <w:rPr>
          <w:rFonts w:ascii="Times New Roman" w:hAnsi="Times New Roman"/>
        </w:rPr>
        <w:t>.</w:t>
      </w:r>
    </w:p>
    <w:p>
      <w:pPr>
        <w:pStyle w:val="Firstparagraph"/>
        <w:bidi w:val="0"/>
        <w:spacing w:lineRule="auto" w:line="360"/>
        <w:jc w:val="both"/>
        <w:rPr>
          <w:rFonts w:ascii="Times New Roman" w:hAnsi="Times New Roman"/>
        </w:rPr>
      </w:pPr>
      <w:r>
        <w:rPr>
          <w:rFonts w:ascii="Times New Roman" w:hAnsi="Times New Roman"/>
        </w:rPr>
        <w:t>Необходимость дальнейшей разработки универсальной концепции Священного Писания в контексте Предания, предусматривающей подробное исследование богатейшей традиции передачи НЗ текста, ставит перед православными библеистами большую задачу, которую еще предстоит решить.</w:t>
      </w:r>
    </w:p>
    <w:p>
      <w:pPr>
        <w:pStyle w:val="TextBody"/>
        <w:bidi w:val="0"/>
        <w:spacing w:lineRule="auto" w:line="360"/>
        <w:jc w:val="both"/>
        <w:rPr>
          <w:rFonts w:ascii="Times New Roman" w:hAnsi="Times New Roman"/>
        </w:rPr>
      </w:pPr>
      <w:r>
        <w:rPr>
          <w:rFonts w:ascii="Times New Roman" w:hAnsi="Times New Roman"/>
        </w:rPr>
        <w:t>Библиография:</w:t>
      </w:r>
    </w:p>
    <w:p>
      <w:pPr>
        <w:pStyle w:val="TextBody"/>
        <w:bidi w:val="0"/>
        <w:spacing w:lineRule="auto" w:line="360"/>
        <w:jc w:val="both"/>
        <w:rPr>
          <w:rFonts w:ascii="Times New Roman" w:hAnsi="Times New Roman"/>
        </w:rPr>
      </w:pPr>
      <w:r>
        <w:rPr>
          <w:rFonts w:ascii="Times New Roman" w:hAnsi="Times New Roman"/>
          <w:i/>
          <w:iCs/>
        </w:rPr>
        <w:t>Bart D. Ehrman</w:t>
      </w:r>
      <w:r>
        <w:rPr>
          <w:rFonts w:ascii="Times New Roman" w:hAnsi="Times New Roman"/>
        </w:rPr>
        <w:t>. The Orthodox Corruption of Scripture. The Effect of Early Christological Controversies on the Text of the New Testament. New York, Oxford: Oxford University Press, 1993.</w:t>
      </w:r>
    </w:p>
    <w:p>
      <w:pPr>
        <w:pStyle w:val="TextBody"/>
        <w:bidi w:val="0"/>
        <w:spacing w:lineRule="auto" w:line="360"/>
        <w:jc w:val="both"/>
        <w:rPr>
          <w:rFonts w:ascii="Times New Roman" w:hAnsi="Times New Roman"/>
        </w:rPr>
      </w:pPr>
      <w:r>
        <w:rPr>
          <w:rFonts w:ascii="Times New Roman" w:hAnsi="Times New Roman"/>
          <w:i/>
          <w:iCs/>
        </w:rPr>
        <w:t>Bruce M. Metzger, Bart D. Ehrman</w:t>
      </w:r>
      <w:r>
        <w:rPr>
          <w:rFonts w:ascii="Times New Roman" w:hAnsi="Times New Roman"/>
        </w:rPr>
        <w:t>. The Text of the New Testament. Its Transmission, Corruption and Restoration. New York, Oxford: Oxford University Press, 2005.</w:t>
      </w:r>
    </w:p>
    <w:p>
      <w:pPr>
        <w:pStyle w:val="TextBody"/>
        <w:bidi w:val="0"/>
        <w:spacing w:lineRule="auto" w:line="360"/>
        <w:jc w:val="both"/>
        <w:rPr>
          <w:rFonts w:ascii="Times New Roman" w:hAnsi="Times New Roman"/>
        </w:rPr>
      </w:pPr>
      <w:r>
        <w:rPr>
          <w:rFonts w:ascii="Times New Roman" w:hAnsi="Times New Roman"/>
          <w:i/>
          <w:iCs/>
        </w:rPr>
        <w:t>Daniel B. Wallace</w:t>
      </w:r>
      <w:r>
        <w:rPr>
          <w:rFonts w:ascii="Times New Roman" w:hAnsi="Times New Roman"/>
        </w:rPr>
        <w:t xml:space="preserve">. The Majority Text Theory: History, Methods, and Crituque // The Text of the New Testament in Contemporary Research: essays on the status quaestions / Bart D. Ehrman, Michael W. Holmes. 2nd ed. Leiden, Boston: Brill, 2013., </w:t>
      </w:r>
      <w:r>
        <w:rPr>
          <w:rFonts w:ascii="Times New Roman" w:hAnsi="Times New Roman"/>
          <w:smallCaps/>
        </w:rPr>
        <w:t>xlii</w:t>
      </w:r>
      <w:r>
        <w:rPr>
          <w:rFonts w:ascii="Times New Roman" w:hAnsi="Times New Roman"/>
        </w:rPr>
        <w:t>.</w:t>
      </w:r>
    </w:p>
    <w:p>
      <w:pPr>
        <w:pStyle w:val="TextBody"/>
        <w:bidi w:val="0"/>
        <w:spacing w:lineRule="auto" w:line="360"/>
        <w:jc w:val="both"/>
        <w:rPr>
          <w:rFonts w:ascii="Times New Roman" w:hAnsi="Times New Roman"/>
        </w:rPr>
      </w:pPr>
      <w:r>
        <w:rPr>
          <w:rFonts w:ascii="Times New Roman" w:hAnsi="Times New Roman"/>
          <w:i/>
          <w:iCs/>
        </w:rPr>
        <w:t>Darrell L. Bock and Daniel B. Wallace</w:t>
      </w:r>
      <w:r>
        <w:rPr>
          <w:rFonts w:ascii="Times New Roman" w:hAnsi="Times New Roman"/>
        </w:rPr>
        <w:t>. Dethroning Jesus: Exposing Popular Culture’s Quest to Unseat the Biblical Christ. Nashville, Dallas, Mexico City, Rio De Janeiro, Beijing: Thomas Nelson, 2007.</w:t>
      </w:r>
    </w:p>
    <w:p>
      <w:pPr>
        <w:pStyle w:val="TextBody"/>
        <w:bidi w:val="0"/>
        <w:spacing w:lineRule="auto" w:line="360"/>
        <w:jc w:val="both"/>
        <w:rPr>
          <w:rFonts w:ascii="Times New Roman" w:hAnsi="Times New Roman"/>
        </w:rPr>
      </w:pPr>
      <w:r>
        <w:rPr>
          <w:rFonts w:ascii="Times New Roman" w:hAnsi="Times New Roman"/>
          <w:i/>
          <w:iCs/>
        </w:rPr>
        <w:t>Gordon D. Fee</w:t>
      </w:r>
      <w:r>
        <w:rPr>
          <w:rFonts w:ascii="Times New Roman" w:hAnsi="Times New Roman"/>
        </w:rPr>
        <w:t xml:space="preserve">. The Majority Text and the Original Text of the New Testament // Studies in the Theory and Method of New Testament Textual Criticism / Irving Alan Sparks, J. Neville Birdsall, Sebastian P. Bock, Elon Jay Epp, Gordon D. Fee. Grand Rapids, Michigan: William B. Eerdmans Publishing Co., 1992., </w:t>
      </w:r>
      <w:r>
        <w:rPr>
          <w:rFonts w:ascii="Times New Roman" w:hAnsi="Times New Roman"/>
          <w:smallCaps/>
        </w:rPr>
        <w:t>xlv</w:t>
      </w:r>
      <w:r>
        <w:rPr>
          <w:rFonts w:ascii="Times New Roman" w:hAnsi="Times New Roman"/>
        </w:rPr>
        <w:t>.</w:t>
      </w:r>
    </w:p>
    <w:p>
      <w:pPr>
        <w:pStyle w:val="TextBody"/>
        <w:bidi w:val="0"/>
        <w:spacing w:lineRule="auto" w:line="360" w:before="86" w:after="86"/>
        <w:jc w:val="both"/>
        <w:rPr>
          <w:rFonts w:ascii="Times New Roman" w:hAnsi="Times New Roman"/>
        </w:rPr>
      </w:pPr>
      <w:r>
        <w:rPr>
          <w:rFonts w:ascii="Times New Roman" w:hAnsi="Times New Roman"/>
          <w:i/>
          <w:iCs/>
        </w:rPr>
        <w:t>Сагарда Н.И.</w:t>
      </w:r>
      <w:r>
        <w:rPr>
          <w:rFonts w:ascii="Times New Roman" w:hAnsi="Times New Roman"/>
        </w:rPr>
        <w:t xml:space="preserve"> Первое соборное послание святого Апостола и Евангелиста Иоанна Богослова. Полтава: Торг. Дом "Л. Фришберг", 1903.</w:t>
      </w:r>
    </w:p>
    <w:sectPr>
      <w:footerReference w:type="default" r:id="rId2"/>
      <w:footnotePr>
        <w:numFmt w:val="decimal"/>
      </w:footnotePr>
      <w:type w:val="nextPage"/>
      <w:pgSz w:w="12240" w:h="15840"/>
      <w:pgMar w:left="1440" w:right="1440" w:header="0" w:top="1440" w:footer="1440" w:bottom="2016"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ourier New">
    <w:charset w:val="01"/>
    <w:family w:val="modern"/>
    <w:pitch w:val="fixed"/>
  </w:font>
  <w:font w:name="StarSymbol">
    <w:altName w:val="Arial Unicode MS"/>
    <w:charset w:val="01"/>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11</w:t>
    </w:r>
    <w:r>
      <w:fldChar w:fldCharType="end"/>
    </w:r>
    <w:r>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t xml:space="preserve">Хотя в данную статью не вошел разбор чтений, которые по мнению критиков оказывают серьезное влияние на смысл НЗ текста, можно утверждать, что ни одно из них не представляет непреодолимых трудностей для христианского богословия. По словам Даниэла Уоллэса “…значительные текстовые варианты, изменяющие основные доктрины Нового Завета, пока не были обнаружены”, </w:t>
      </w:r>
      <w:r>
        <w:rPr>
          <w:i/>
          <w:iCs/>
        </w:rPr>
        <w:t>Darrell L. Bock and Daniel B. Wallace</w:t>
      </w:r>
      <w:r>
        <w:rPr/>
        <w:t>, Dethroning Jesus: Exposing Popular Culture’s Quest to Unseat the Biblical Christ. Nashville, Dallas, Mexico City, Rio De Janeiro, Beijing: Thomas Nelson, 2007, P. 70.</w:t>
      </w:r>
    </w:p>
  </w:footnote>
  <w:footnote w:id="3">
    <w:p>
      <w:pPr>
        <w:pStyle w:val="Footnote"/>
        <w:rPr/>
      </w:pPr>
      <w:r>
        <w:rPr/>
        <w:footnoteRef/>
        <w:tab/>
        <w:t xml:space="preserve">Commentarii in Joan. PG 6.40, See also: </w:t>
      </w:r>
      <w:r>
        <w:rPr>
          <w:i/>
          <w:iCs/>
        </w:rPr>
        <w:t>Bruce M. Metzger, Bart D. Ehrman</w:t>
      </w:r>
      <w:r>
        <w:rPr/>
        <w:t>, The Text of the New Testament. Its Transmission, Corruption and Restoration. New York, Oxford: Oxford University Press, 2005, P. 201.</w:t>
      </w:r>
    </w:p>
  </w:footnote>
  <w:footnote w:id="4">
    <w:p>
      <w:pPr>
        <w:pStyle w:val="Footnote"/>
        <w:rPr/>
      </w:pPr>
      <w:r>
        <w:rPr/>
        <w:footnoteRef/>
        <w:tab/>
        <w:t>Знакомство с критическим аппаратом изданий The Greek New Testament (UBS) или Novum Testamentum Graece (Нестле-Аланда) позволяет увидеть какие именно разночтения встречаются в рукописях НЗ. Можно также ознакомитья с фотокопиями некоторых древних кодексов. См: https://www.codexsynaiticus.org; https://digi.vatlib.it/view/MSS_Vat.gr.1209; http://www.bl.uk/manuscripts/Viewer.aspx?ref=royal_ms_1_d_viii_fs001r (дата обращения: 19.07.2019).</w:t>
      </w:r>
    </w:p>
  </w:footnote>
  <w:footnote w:id="5">
    <w:p>
      <w:pPr>
        <w:pStyle w:val="Footnote"/>
        <w:rPr/>
      </w:pPr>
      <w:r>
        <w:rPr/>
        <w:footnoteRef/>
        <w:tab/>
        <w:t>Александрийский текст кроме древних папирусов представлен Синайским (</w:t>
      </w:r>
      <w:r>
        <w:rPr>
          <w:rtl w:val="true"/>
        </w:rPr>
        <w:t>א</w:t>
      </w:r>
      <w:r>
        <w:rPr/>
        <w:t>) и Ватиканским (B) кодексами, рядом более поздних рукописей.</w:t>
      </w:r>
    </w:p>
  </w:footnote>
  <w:footnote w:id="6">
    <w:p>
      <w:pPr>
        <w:pStyle w:val="Footnote"/>
        <w:rPr/>
      </w:pPr>
      <w:r>
        <w:rPr/>
        <w:footnoteRef/>
        <w:tab/>
        <w:t>Среди самых известных свидетелей Западного типа — кодекс Безы (D) и рукописи древнейшего латинского перевода, Италы (it).</w:t>
      </w:r>
    </w:p>
  </w:footnote>
  <w:footnote w:id="7">
    <w:p>
      <w:pPr>
        <w:pStyle w:val="Footnote"/>
        <w:rPr/>
      </w:pPr>
      <w:r>
        <w:rPr/>
        <w:footnoteRef/>
        <w:tab/>
        <w:t>Истоки Византийского типа находятся в древности. Многие исследователи связывает ее с рецензией Лукиана Антиохийского (IV в.).</w:t>
      </w:r>
    </w:p>
  </w:footnote>
  <w:footnote w:id="8">
    <w:p>
      <w:pPr>
        <w:pStyle w:val="Footnote"/>
        <w:rPr/>
      </w:pPr>
      <w:r>
        <w:rPr/>
        <w:footnoteRef/>
        <w:tab/>
        <w:t>В. Пикеринг, З. Ходжес, А. Фэрстед, В. Пирпонт, М. Робинсон и другие.</w:t>
      </w:r>
    </w:p>
  </w:footnote>
  <w:footnote w:id="9">
    <w:p>
      <w:pPr>
        <w:pStyle w:val="Footnote"/>
        <w:rPr/>
      </w:pPr>
      <w:r>
        <w:rPr/>
        <w:footnoteRef/>
        <w:tab/>
        <w:t xml:space="preserve">При этом нужно подчеркнуть: когда речь идет о Византийском </w:t>
      </w:r>
      <w:r>
        <w:rPr>
          <w:i/>
          <w:iCs/>
        </w:rPr>
        <w:t>типе</w:t>
      </w:r>
      <w:r>
        <w:rPr/>
        <w:t>, большинство ученых имеет в виду совокупность чтений, которая складывалась постепенно. Присутствие отдельных “Византийских” вариантов, например, в некоторых древних папирусах еще не говорит о существовании во II-III вв. Византийского типа, как системы чтений.</w:t>
      </w:r>
    </w:p>
  </w:footnote>
  <w:footnote w:id="10">
    <w:p>
      <w:pPr>
        <w:pStyle w:val="Footnote"/>
        <w:rPr/>
      </w:pPr>
      <w:r>
        <w:rPr/>
        <w:footnoteRef/>
        <w:tab/>
        <w:t xml:space="preserve">See: </w:t>
      </w:r>
      <w:r>
        <w:rPr>
          <w:i/>
          <w:iCs/>
        </w:rPr>
        <w:t>Gordon D. Fee</w:t>
      </w:r>
      <w:r>
        <w:rPr/>
        <w:t xml:space="preserve">, The Majority Text and the Original Text of the New Testament // Studies in the Theory and Method of New Testament Textual Criticism / Irving Alan Sparks, J. Neville Birdsall, Sebastian P. Bock, Elon Jay Epp, Gordon D. Fee. Grand Rapids, Michigan: William B. Eerdmans Publishing Co., 1992., </w:t>
      </w:r>
      <w:r>
        <w:rPr>
          <w:smallCaps/>
        </w:rPr>
        <w:t>xlv</w:t>
      </w:r>
      <w:r>
        <w:rPr/>
        <w:t xml:space="preserve">, </w:t>
      </w:r>
      <w:r>
        <w:rPr>
          <w:i/>
          <w:iCs/>
        </w:rPr>
        <w:t>Daniel B. Wallace</w:t>
      </w:r>
      <w:r>
        <w:rPr/>
        <w:t xml:space="preserve">, The Majority Text Theory: History, Methods, and Crituque // The Text of the New Testament in Contemporary Research: essays on the status quaestions / Bart D. Ehrman, Michael W. Holmes. 2nd ed. Leiden, Boston: Brill, 2013., </w:t>
      </w:r>
      <w:r>
        <w:rPr>
          <w:smallCaps/>
        </w:rPr>
        <w:t>xlii</w:t>
      </w:r>
      <w:r>
        <w:rPr/>
        <w:t>.</w:t>
      </w:r>
    </w:p>
  </w:footnote>
  <w:footnote w:id="11">
    <w:p>
      <w:pPr>
        <w:pStyle w:val="Footnote"/>
        <w:rPr/>
      </w:pPr>
      <w:r>
        <w:rPr/>
        <w:footnoteRef/>
        <w:tab/>
        <w:t>Самым известным трудом этого автора является критическое издание Византийского “текста большинства” (The New Testament in the Original Greek according to the Byzantine/Majority Textform, 1991). Очень важным дополнением ко второму изданию стала статья “The Case for Byzantine Priority”, в которой Робинсон излагает свое видение гипотезы ВП и пытается последовательно отразить атаки на нее.</w:t>
      </w:r>
    </w:p>
  </w:footnote>
  <w:footnote w:id="12">
    <w:p>
      <w:pPr>
        <w:pStyle w:val="Footnote"/>
        <w:rPr/>
      </w:pPr>
      <w:r>
        <w:rPr/>
        <w:footnoteRef/>
        <w:tab/>
        <w:t xml:space="preserve">Например, “стемматический” метод Ходжеса и Фэрстеда принес результаты, которые противоречили ожиданиям авторов. В полученном ими материале другие исследователи обнаружили ряд чтений “меньшинства” (вариантов из рукописей Александрийского и Западного типов), что, по замечанию Уоллэса (See: Ibid, P. 724) идет вразрез даже с названием опубликованного авторами издания: “Греческий Новый Завет согласно тексту </w:t>
      </w:r>
      <w:r>
        <w:rPr>
          <w:i/>
          <w:iCs/>
        </w:rPr>
        <w:t>большинства</w:t>
      </w:r>
      <w:r>
        <w:rPr/>
        <w:t>” (Z. Hodges, A. Farstad. The Greek New Testament according to the Majority Text, 2d ed. Nashville: Thomas Nelson, 1985).</w:t>
      </w:r>
    </w:p>
  </w:footnote>
  <w:footnote w:id="13">
    <w:p>
      <w:pPr>
        <w:pStyle w:val="Footnote"/>
        <w:rPr/>
      </w:pPr>
      <w:r>
        <w:rPr/>
        <w:footnoteRef/>
        <w:tab/>
        <w:t xml:space="preserve">See: </w:t>
      </w:r>
      <w:r>
        <w:rPr>
          <w:i/>
          <w:iCs/>
        </w:rPr>
        <w:t>Gordon D. Fee</w:t>
      </w:r>
      <w:r>
        <w:rPr/>
        <w:t xml:space="preserve">, The Majority Text and the Original Text of the New Testament... </w:t>
      </w:r>
      <w:r>
        <w:rPr>
          <w:smallCaps/>
        </w:rPr>
        <w:t>xlv</w:t>
      </w:r>
      <w:r>
        <w:rPr/>
        <w:t>, P. 198.</w:t>
      </w:r>
    </w:p>
  </w:footnote>
  <w:footnote w:id="14">
    <w:p>
      <w:pPr>
        <w:pStyle w:val="Footnote"/>
        <w:rPr/>
      </w:pPr>
      <w:r>
        <w:rPr/>
        <w:footnoteRef/>
        <w:tab/>
        <w:t>Нужно оговориться: позиция некоторых защитников ВП не столь категорична. Так, Робинсон использует методы текстуальной критики, хотя и оговаривает принципиальные отличия своего метода (например, отказ от безусловного приоритета “кратких чтений”).</w:t>
      </w:r>
    </w:p>
  </w:footnote>
  <w:footnote w:id="15">
    <w:p>
      <w:pPr>
        <w:pStyle w:val="Footnote"/>
        <w:rPr/>
      </w:pPr>
      <w:r>
        <w:rPr/>
        <w:footnoteRef/>
        <w:tab/>
        <w:t>Так довольно много проблем вызывает наличие двух редакций Апокалипсиса, встречающихся в Византийских рукописях, одна из которых совпадает с текстом из толкований Андрея Критского, а другая характерна для лекционариев.</w:t>
      </w:r>
    </w:p>
  </w:footnote>
  <w:footnote w:id="16">
    <w:p>
      <w:pPr>
        <w:pStyle w:val="Footnote"/>
        <w:rPr/>
      </w:pPr>
      <w:r>
        <w:rPr/>
        <w:footnoteRef/>
        <w:tab/>
        <w:t>Также встречаются ссылки на: Пс 11:7; Пс 118:89; Ис 40:8; Мф 24:35; Ин 10:35; 1 Пет 1:23-25. Смысл всех этих цитат можно понимать как в пропозициональном, так и в непропозициональном смысле.</w:t>
      </w:r>
    </w:p>
  </w:footnote>
  <w:footnote w:id="17">
    <w:p>
      <w:pPr>
        <w:pStyle w:val="Footnote"/>
        <w:rPr/>
      </w:pPr>
      <w:r>
        <w:rPr/>
        <w:footnoteRef/>
        <w:tab/>
        <w:t>“…</w:t>
      </w:r>
      <w:r>
        <w:rPr/>
        <w:t xml:space="preserve">во многих местах все сохранившиеся свидетели настолько повреждены, что приходится прибегать к критической реконструкции (conjectural emendation)”, </w:t>
      </w:r>
      <w:r>
        <w:rPr>
          <w:i/>
          <w:iCs/>
        </w:rPr>
        <w:t>Daniel B. Wallace</w:t>
      </w:r>
      <w:r>
        <w:rPr/>
        <w:t xml:space="preserve">, The Majority Text Theory: History, Methods, and Crituque... </w:t>
      </w:r>
      <w:r>
        <w:rPr>
          <w:smallCaps/>
        </w:rPr>
        <w:t>xlii</w:t>
      </w:r>
      <w:r>
        <w:rPr/>
        <w:t>, P. 728, ref. 72. Другими словами, многие реконструкции ВЗ чтений — догадки на основании общего контекста.</w:t>
      </w:r>
    </w:p>
  </w:footnote>
  <w:footnote w:id="18">
    <w:p>
      <w:pPr>
        <w:pStyle w:val="Footnote"/>
        <w:rPr/>
      </w:pPr>
      <w:r>
        <w:rPr/>
        <w:footnoteRef/>
        <w:tab/>
        <w:t>Вопрос о расхождении Марка и других синоптиков привлекает внимание критиков, ведь такая картина явно противоречит фундаменталистскому пониманию богодухновенности Писания. Однако с точки зрения сторонника непропозиционального взгляда эти расхождения не создают серьезных проблем (см. публичный диспут Крейга Эванса с Бартом Эрманом, Does the New Testament present a reliable portrait of the historical Jesus? Dispute at Saint Mary’s University, 19.01.2012, https://www.youtube.com/watch?v=ueRIdrlZsvs (дата обращения: 23.09.2019).</w:t>
      </w:r>
    </w:p>
  </w:footnote>
  <w:footnote w:id="19">
    <w:p>
      <w:pPr>
        <w:pStyle w:val="Footnote"/>
        <w:rPr/>
      </w:pPr>
      <w:r>
        <w:rPr/>
        <w:footnoteRef/>
        <w:tab/>
        <w:t>В Библии действительно содержатся слова Бога (например, в Нагорной проповеди), но они передаются учениками, которые сохранили эти слова в своей памяти. С помощью Духа они изложили смысл этих слов, хотя и не дословно: Господь Иисус произнес свои притчи, скорее всего, на арамейском языке, но до нас они дошли на греческом, в разных редакциях Евангелистов. Таким образом, мы можем подходить к Писанию пропозиционально, но в несколько ограниченном смысле.</w:t>
      </w:r>
    </w:p>
  </w:footnote>
  <w:footnote w:id="20">
    <w:p>
      <w:pPr>
        <w:pStyle w:val="Footnote"/>
        <w:rPr/>
      </w:pPr>
      <w:r>
        <w:rPr/>
        <w:footnoteRef/>
        <w:tab/>
        <w:t xml:space="preserve">См., напр.: </w:t>
      </w:r>
      <w:r>
        <w:rPr>
          <w:i/>
          <w:iCs/>
        </w:rPr>
        <w:t>Сагарда Н.И.</w:t>
      </w:r>
      <w:r>
        <w:rPr/>
        <w:t>, Первое соборное послание святого Апостола и Евангелиста Иоанна Богослова. Полтава: Торг. Дом "Л. Фришберг", 1903, С. 243. Иоаннову вставку просто опасно использовать в полемике с антитринитаристами, которым хорошо известен поздний характер этого чтения.</w:t>
      </w:r>
    </w:p>
  </w:footnote>
  <w:footnote w:id="21">
    <w:p>
      <w:pPr>
        <w:pStyle w:val="Footnote"/>
        <w:rPr/>
      </w:pPr>
      <w:r>
        <w:rPr/>
        <w:footnoteRef/>
        <w:tab/>
        <w:t>В древнейших русских Евангелиях (Остромировом и Архангельском 1092 г.) ПП вообще отсутствует. При этом перикопа не используется в качестве рядового чтения (это касается и современных изданий богослужебных Евангелий, в которых нет рядового зачала, содержащего этот текст). Отсутствует ПП и среди чтений на памяти святых жен, — в месяцесловной части этих древних апракосов выбраны другие тексты (о 10 девах, о женщине, возливающей миро и др.).</w:t>
      </w:r>
    </w:p>
  </w:footnote>
  <w:footnote w:id="22">
    <w:p>
      <w:pPr>
        <w:pStyle w:val="Footnote"/>
        <w:rPr/>
      </w:pPr>
      <w:r>
        <w:rPr/>
        <w:footnoteRef/>
        <w:tab/>
        <w:t>Например, помимо традиционного чтения на малом освящении воды Ин. 5:3b-4 можно предложить также Ин. 4:7-14.</w:t>
      </w:r>
    </w:p>
  </w:footnote>
  <w:footnote w:id="23">
    <w:p>
      <w:pPr>
        <w:pStyle w:val="Footnote"/>
        <w:rPr/>
      </w:pPr>
      <w:r>
        <w:rPr/>
        <w:footnoteRef/>
        <w:tab/>
        <w:t xml:space="preserve">See: </w:t>
      </w:r>
      <w:r>
        <w:rPr>
          <w:i/>
          <w:iCs/>
        </w:rPr>
        <w:t>Bart D. Ehrman</w:t>
      </w:r>
      <w:r>
        <w:rPr/>
        <w:t>, The Orthodox Corruption of Scripture. The Effect of Early Christological Controversies on the Text of the New Testament. New York, Oxford: Oxford University Press, 1993.</w:t>
      </w:r>
    </w:p>
  </w:footnote>
  <w:footnote w:id="24">
    <w:p>
      <w:pPr>
        <w:pStyle w:val="Footnote"/>
        <w:rPr/>
      </w:pPr>
      <w:r>
        <w:rPr/>
        <w:footnoteRef/>
        <w:tab/>
        <w:t>Впрочем, остается вопрос определения “чистого” византийского текста. Будет ли это ранняя версия группы рукописей “П”, или подходящим окажется более поздний “срез” периода студийской реформы, пока сказать трудно. Это еще один вопрос, на который необходимо ответить православным библеистам. Неплохим вариантом можно считать упоминавшуюся выше публикацию Робинсона, воспроизводящую “усредненный” Византийский текст.</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576"/>
        </w:tabs>
        <w:ind w:left="576" w:hanging="576"/>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576"/>
        </w:tabs>
        <w:ind w:left="576" w:hanging="576"/>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576"/>
        </w:tabs>
        <w:ind w:left="576" w:hanging="576"/>
      </w:pPr>
      <w:rPr>
        <w:rFonts w:ascii="Symbol" w:hAnsi="Symbol" w:cs="Symbol" w:hint="default"/>
        <w:sz w:val="18"/>
        <w:szCs w:val="18"/>
        <w:rFonts w:cs="StarSymbol"/>
      </w:rPr>
    </w:lvl>
    <w:lvl w:ilvl="1">
      <w:start w:val="1"/>
      <w:numFmt w:val="bullet"/>
      <w:lvlText w:val="◦"/>
      <w:lvlJc w:val="left"/>
      <w:pPr>
        <w:tabs>
          <w:tab w:val="num" w:pos="1152"/>
        </w:tabs>
        <w:ind w:left="1152" w:hanging="576"/>
      </w:pPr>
      <w:rPr>
        <w:rFonts w:ascii="OpenSymbol" w:hAnsi="OpenSymbol" w:cs="OpenSymbol" w:hint="default"/>
        <w:sz w:val="18"/>
        <w:szCs w:val="18"/>
        <w:rFonts w:cs="StarSymbol"/>
      </w:rPr>
    </w:lvl>
    <w:lvl w:ilvl="2">
      <w:start w:val="1"/>
      <w:numFmt w:val="bullet"/>
      <w:lvlText w:val="▪"/>
      <w:lvlJc w:val="left"/>
      <w:pPr>
        <w:tabs>
          <w:tab w:val="num" w:pos="1728"/>
        </w:tabs>
        <w:ind w:left="1728" w:hanging="576"/>
      </w:pPr>
      <w:rPr>
        <w:rFonts w:ascii="OpenSymbol" w:hAnsi="OpenSymbol" w:cs="OpenSymbol" w:hint="default"/>
        <w:sz w:val="18"/>
        <w:szCs w:val="18"/>
        <w:rFonts w:cs="StarSymbol"/>
      </w:rPr>
    </w:lvl>
    <w:lvl w:ilvl="3">
      <w:start w:val="1"/>
      <w:numFmt w:val="bullet"/>
      <w:lvlText w:val=""/>
      <w:lvlJc w:val="left"/>
      <w:pPr>
        <w:tabs>
          <w:tab w:val="num" w:pos="2304"/>
        </w:tabs>
        <w:ind w:left="2304" w:hanging="576"/>
      </w:pPr>
      <w:rPr>
        <w:rFonts w:ascii="Symbol" w:hAnsi="Symbol" w:cs="Symbol" w:hint="default"/>
        <w:sz w:val="18"/>
        <w:szCs w:val="18"/>
        <w:rFonts w:cs="StarSymbol"/>
      </w:rPr>
    </w:lvl>
    <w:lvl w:ilvl="4">
      <w:start w:val="1"/>
      <w:numFmt w:val="bullet"/>
      <w:lvlText w:val="◦"/>
      <w:lvlJc w:val="left"/>
      <w:pPr>
        <w:tabs>
          <w:tab w:val="num" w:pos="2880"/>
        </w:tabs>
        <w:ind w:left="2880" w:hanging="576"/>
      </w:pPr>
      <w:rPr>
        <w:rFonts w:ascii="OpenSymbol" w:hAnsi="OpenSymbol" w:cs="OpenSymbol" w:hint="default"/>
        <w:sz w:val="18"/>
        <w:szCs w:val="18"/>
        <w:rFonts w:cs="StarSymbol"/>
      </w:rPr>
    </w:lvl>
    <w:lvl w:ilvl="5">
      <w:start w:val="1"/>
      <w:numFmt w:val="bullet"/>
      <w:lvlText w:val="▪"/>
      <w:lvlJc w:val="left"/>
      <w:pPr>
        <w:tabs>
          <w:tab w:val="num" w:pos="3456"/>
        </w:tabs>
        <w:ind w:left="3456" w:hanging="576"/>
      </w:pPr>
      <w:rPr>
        <w:rFonts w:ascii="OpenSymbol" w:hAnsi="OpenSymbol" w:cs="OpenSymbol" w:hint="default"/>
        <w:sz w:val="18"/>
        <w:szCs w:val="18"/>
        <w:rFonts w:cs="StarSymbol"/>
      </w:rPr>
    </w:lvl>
    <w:lvl w:ilvl="6">
      <w:start w:val="1"/>
      <w:numFmt w:val="bullet"/>
      <w:lvlText w:val=""/>
      <w:lvlJc w:val="left"/>
      <w:pPr>
        <w:tabs>
          <w:tab w:val="num" w:pos="4032"/>
        </w:tabs>
        <w:ind w:left="4032" w:hanging="576"/>
      </w:pPr>
      <w:rPr>
        <w:rFonts w:ascii="Symbol" w:hAnsi="Symbol" w:cs="Symbol" w:hint="default"/>
        <w:sz w:val="18"/>
        <w:szCs w:val="18"/>
        <w:rFonts w:cs="StarSymbol"/>
      </w:rPr>
    </w:lvl>
    <w:lvl w:ilvl="7">
      <w:start w:val="1"/>
      <w:numFmt w:val="bullet"/>
      <w:lvlText w:val="◦"/>
      <w:lvlJc w:val="left"/>
      <w:pPr>
        <w:tabs>
          <w:tab w:val="num" w:pos="4608"/>
        </w:tabs>
        <w:ind w:left="4608" w:hanging="576"/>
      </w:pPr>
      <w:rPr>
        <w:rFonts w:ascii="OpenSymbol" w:hAnsi="OpenSymbol" w:cs="OpenSymbol" w:hint="default"/>
        <w:sz w:val="18"/>
        <w:szCs w:val="18"/>
        <w:rFonts w:cs="StarSymbol"/>
      </w:rPr>
    </w:lvl>
    <w:lvl w:ilvl="8">
      <w:start w:val="1"/>
      <w:numFmt w:val="bullet"/>
      <w:lvlText w:val="▪"/>
      <w:lvlJc w:val="left"/>
      <w:pPr>
        <w:tabs>
          <w:tab w:val="num" w:pos="5184"/>
        </w:tabs>
        <w:ind w:left="5184" w:hanging="576"/>
      </w:pPr>
      <w:rPr>
        <w:rFonts w:ascii="OpenSymbol" w:hAnsi="OpenSymbol" w:cs="OpenSymbol" w:hint="default"/>
        <w:sz w:val="18"/>
        <w:szCs w:val="18"/>
        <w:rFonts w:cs="StarSymbol"/>
      </w:rPr>
    </w:lvl>
  </w:abstractNum>
  <w:abstractNum w:abstractNumId="5">
    <w:lvl w:ilvl="0">
      <w:start w:val="1"/>
      <w:numFmt w:val="bullet"/>
      <w:lvlText w:val=""/>
      <w:lvlJc w:val="left"/>
      <w:pPr>
        <w:tabs>
          <w:tab w:val="num" w:pos="576"/>
        </w:tabs>
        <w:ind w:left="576" w:hanging="576"/>
      </w:pPr>
      <w:rPr>
        <w:rFonts w:ascii="Symbol" w:hAnsi="Symbol" w:cs="Symbol" w:hint="default"/>
        <w:sz w:val="18"/>
        <w:szCs w:val="18"/>
        <w:rFonts w:cs="StarSymbol"/>
      </w:rPr>
    </w:lvl>
    <w:lvl w:ilvl="1">
      <w:start w:val="1"/>
      <w:numFmt w:val="bullet"/>
      <w:lvlText w:val="◦"/>
      <w:lvlJc w:val="left"/>
      <w:pPr>
        <w:tabs>
          <w:tab w:val="num" w:pos="1152"/>
        </w:tabs>
        <w:ind w:left="1152" w:hanging="576"/>
      </w:pPr>
      <w:rPr>
        <w:rFonts w:ascii="OpenSymbol" w:hAnsi="OpenSymbol" w:cs="OpenSymbol" w:hint="default"/>
        <w:sz w:val="18"/>
        <w:szCs w:val="18"/>
        <w:rFonts w:cs="StarSymbol"/>
      </w:rPr>
    </w:lvl>
    <w:lvl w:ilvl="2">
      <w:start w:val="1"/>
      <w:numFmt w:val="bullet"/>
      <w:lvlText w:val="▪"/>
      <w:lvlJc w:val="left"/>
      <w:pPr>
        <w:tabs>
          <w:tab w:val="num" w:pos="1728"/>
        </w:tabs>
        <w:ind w:left="1728" w:hanging="576"/>
      </w:pPr>
      <w:rPr>
        <w:rFonts w:ascii="OpenSymbol" w:hAnsi="OpenSymbol" w:cs="OpenSymbol" w:hint="default"/>
        <w:sz w:val="18"/>
        <w:szCs w:val="18"/>
        <w:rFonts w:cs="StarSymbol"/>
      </w:rPr>
    </w:lvl>
    <w:lvl w:ilvl="3">
      <w:start w:val="1"/>
      <w:numFmt w:val="bullet"/>
      <w:lvlText w:val=""/>
      <w:lvlJc w:val="left"/>
      <w:pPr>
        <w:tabs>
          <w:tab w:val="num" w:pos="2304"/>
        </w:tabs>
        <w:ind w:left="2304" w:hanging="576"/>
      </w:pPr>
      <w:rPr>
        <w:rFonts w:ascii="Symbol" w:hAnsi="Symbol" w:cs="Symbol" w:hint="default"/>
        <w:sz w:val="18"/>
        <w:szCs w:val="18"/>
        <w:rFonts w:cs="StarSymbol"/>
      </w:rPr>
    </w:lvl>
    <w:lvl w:ilvl="4">
      <w:start w:val="1"/>
      <w:numFmt w:val="bullet"/>
      <w:lvlText w:val="◦"/>
      <w:lvlJc w:val="left"/>
      <w:pPr>
        <w:tabs>
          <w:tab w:val="num" w:pos="2880"/>
        </w:tabs>
        <w:ind w:left="2880" w:hanging="576"/>
      </w:pPr>
      <w:rPr>
        <w:rFonts w:ascii="OpenSymbol" w:hAnsi="OpenSymbol" w:cs="OpenSymbol" w:hint="default"/>
        <w:sz w:val="18"/>
        <w:szCs w:val="18"/>
        <w:rFonts w:cs="StarSymbol"/>
      </w:rPr>
    </w:lvl>
    <w:lvl w:ilvl="5">
      <w:start w:val="1"/>
      <w:numFmt w:val="bullet"/>
      <w:lvlText w:val="▪"/>
      <w:lvlJc w:val="left"/>
      <w:pPr>
        <w:tabs>
          <w:tab w:val="num" w:pos="3456"/>
        </w:tabs>
        <w:ind w:left="3456" w:hanging="576"/>
      </w:pPr>
      <w:rPr>
        <w:rFonts w:ascii="OpenSymbol" w:hAnsi="OpenSymbol" w:cs="OpenSymbol" w:hint="default"/>
        <w:sz w:val="18"/>
        <w:szCs w:val="18"/>
        <w:rFonts w:cs="StarSymbol"/>
      </w:rPr>
    </w:lvl>
    <w:lvl w:ilvl="6">
      <w:start w:val="1"/>
      <w:numFmt w:val="bullet"/>
      <w:lvlText w:val=""/>
      <w:lvlJc w:val="left"/>
      <w:pPr>
        <w:tabs>
          <w:tab w:val="num" w:pos="4032"/>
        </w:tabs>
        <w:ind w:left="4032" w:hanging="576"/>
      </w:pPr>
      <w:rPr>
        <w:rFonts w:ascii="Symbol" w:hAnsi="Symbol" w:cs="Symbol" w:hint="default"/>
        <w:sz w:val="18"/>
        <w:szCs w:val="18"/>
        <w:rFonts w:cs="StarSymbol"/>
      </w:rPr>
    </w:lvl>
    <w:lvl w:ilvl="7">
      <w:start w:val="1"/>
      <w:numFmt w:val="bullet"/>
      <w:lvlText w:val="◦"/>
      <w:lvlJc w:val="left"/>
      <w:pPr>
        <w:tabs>
          <w:tab w:val="num" w:pos="4608"/>
        </w:tabs>
        <w:ind w:left="4608" w:hanging="576"/>
      </w:pPr>
      <w:rPr>
        <w:rFonts w:ascii="OpenSymbol" w:hAnsi="OpenSymbol" w:cs="OpenSymbol" w:hint="default"/>
        <w:sz w:val="18"/>
        <w:szCs w:val="18"/>
        <w:rFonts w:cs="StarSymbol"/>
      </w:rPr>
    </w:lvl>
    <w:lvl w:ilvl="8">
      <w:start w:val="1"/>
      <w:numFmt w:val="bullet"/>
      <w:lvlText w:val="▪"/>
      <w:lvlJc w:val="left"/>
      <w:pPr>
        <w:tabs>
          <w:tab w:val="num" w:pos="5184"/>
        </w:tabs>
        <w:ind w:left="5184" w:hanging="576"/>
      </w:pPr>
      <w:rPr>
        <w:rFonts w:ascii="OpenSymbol" w:hAnsi="OpenSymbol" w:cs="OpenSymbol" w:hint="default"/>
        <w:sz w:val="18"/>
        <w:szCs w:val="18"/>
        <w:rFonts w:cs="StarSymbol"/>
      </w:rPr>
    </w:lvl>
  </w:abstractNum>
  <w:abstractNum w:abstractNumId="6">
    <w:lvl w:ilvl="0">
      <w:start w:val="1"/>
      <w:numFmt w:val="bullet"/>
      <w:lvlText w:val=""/>
      <w:lvlJc w:val="left"/>
      <w:pPr>
        <w:tabs>
          <w:tab w:val="num" w:pos="576"/>
        </w:tabs>
        <w:ind w:left="576" w:hanging="576"/>
      </w:pPr>
      <w:rPr>
        <w:rFonts w:ascii="Symbol" w:hAnsi="Symbol" w:cs="Symbol" w:hint="default"/>
        <w:sz w:val="18"/>
        <w:szCs w:val="18"/>
        <w:rFonts w:cs="StarSymbol"/>
      </w:rPr>
    </w:lvl>
    <w:lvl w:ilvl="1">
      <w:start w:val="1"/>
      <w:numFmt w:val="bullet"/>
      <w:lvlText w:val="◦"/>
      <w:lvlJc w:val="left"/>
      <w:pPr>
        <w:tabs>
          <w:tab w:val="num" w:pos="1152"/>
        </w:tabs>
        <w:ind w:left="1152" w:hanging="576"/>
      </w:pPr>
      <w:rPr>
        <w:rFonts w:ascii="OpenSymbol" w:hAnsi="OpenSymbol" w:cs="OpenSymbol" w:hint="default"/>
        <w:sz w:val="18"/>
        <w:szCs w:val="18"/>
        <w:rFonts w:cs="StarSymbol"/>
      </w:rPr>
    </w:lvl>
    <w:lvl w:ilvl="2">
      <w:start w:val="1"/>
      <w:numFmt w:val="bullet"/>
      <w:lvlText w:val="▪"/>
      <w:lvlJc w:val="left"/>
      <w:pPr>
        <w:tabs>
          <w:tab w:val="num" w:pos="1728"/>
        </w:tabs>
        <w:ind w:left="1728" w:hanging="576"/>
      </w:pPr>
      <w:rPr>
        <w:rFonts w:ascii="OpenSymbol" w:hAnsi="OpenSymbol" w:cs="OpenSymbol" w:hint="default"/>
        <w:sz w:val="18"/>
        <w:szCs w:val="18"/>
        <w:rFonts w:cs="StarSymbol"/>
      </w:rPr>
    </w:lvl>
    <w:lvl w:ilvl="3">
      <w:start w:val="1"/>
      <w:numFmt w:val="bullet"/>
      <w:lvlText w:val=""/>
      <w:lvlJc w:val="left"/>
      <w:pPr>
        <w:tabs>
          <w:tab w:val="num" w:pos="2304"/>
        </w:tabs>
        <w:ind w:left="2304" w:hanging="576"/>
      </w:pPr>
      <w:rPr>
        <w:rFonts w:ascii="Symbol" w:hAnsi="Symbol" w:cs="Symbol" w:hint="default"/>
        <w:sz w:val="18"/>
        <w:szCs w:val="18"/>
        <w:rFonts w:cs="StarSymbol"/>
      </w:rPr>
    </w:lvl>
    <w:lvl w:ilvl="4">
      <w:start w:val="1"/>
      <w:numFmt w:val="bullet"/>
      <w:lvlText w:val="◦"/>
      <w:lvlJc w:val="left"/>
      <w:pPr>
        <w:tabs>
          <w:tab w:val="num" w:pos="2880"/>
        </w:tabs>
        <w:ind w:left="2880" w:hanging="576"/>
      </w:pPr>
      <w:rPr>
        <w:rFonts w:ascii="OpenSymbol" w:hAnsi="OpenSymbol" w:cs="OpenSymbol" w:hint="default"/>
        <w:sz w:val="18"/>
        <w:szCs w:val="18"/>
        <w:rFonts w:cs="StarSymbol"/>
      </w:rPr>
    </w:lvl>
    <w:lvl w:ilvl="5">
      <w:start w:val="1"/>
      <w:numFmt w:val="bullet"/>
      <w:lvlText w:val="▪"/>
      <w:lvlJc w:val="left"/>
      <w:pPr>
        <w:tabs>
          <w:tab w:val="num" w:pos="3456"/>
        </w:tabs>
        <w:ind w:left="3456" w:hanging="576"/>
      </w:pPr>
      <w:rPr>
        <w:rFonts w:ascii="OpenSymbol" w:hAnsi="OpenSymbol" w:cs="OpenSymbol" w:hint="default"/>
        <w:sz w:val="18"/>
        <w:szCs w:val="18"/>
        <w:rFonts w:cs="StarSymbol"/>
      </w:rPr>
    </w:lvl>
    <w:lvl w:ilvl="6">
      <w:start w:val="1"/>
      <w:numFmt w:val="bullet"/>
      <w:lvlText w:val=""/>
      <w:lvlJc w:val="left"/>
      <w:pPr>
        <w:tabs>
          <w:tab w:val="num" w:pos="4032"/>
        </w:tabs>
        <w:ind w:left="4032" w:hanging="576"/>
      </w:pPr>
      <w:rPr>
        <w:rFonts w:ascii="Symbol" w:hAnsi="Symbol" w:cs="Symbol" w:hint="default"/>
        <w:sz w:val="18"/>
        <w:szCs w:val="18"/>
        <w:rFonts w:cs="StarSymbol"/>
      </w:rPr>
    </w:lvl>
    <w:lvl w:ilvl="7">
      <w:start w:val="1"/>
      <w:numFmt w:val="bullet"/>
      <w:lvlText w:val="◦"/>
      <w:lvlJc w:val="left"/>
      <w:pPr>
        <w:tabs>
          <w:tab w:val="num" w:pos="4608"/>
        </w:tabs>
        <w:ind w:left="4608" w:hanging="576"/>
      </w:pPr>
      <w:rPr>
        <w:rFonts w:ascii="OpenSymbol" w:hAnsi="OpenSymbol" w:cs="OpenSymbol" w:hint="default"/>
        <w:sz w:val="18"/>
        <w:szCs w:val="18"/>
        <w:rFonts w:cs="StarSymbol"/>
      </w:rPr>
    </w:lvl>
    <w:lvl w:ilvl="8">
      <w:start w:val="1"/>
      <w:numFmt w:val="bullet"/>
      <w:lvlText w:val="▪"/>
      <w:lvlJc w:val="left"/>
      <w:pPr>
        <w:tabs>
          <w:tab w:val="num" w:pos="5184"/>
        </w:tabs>
        <w:ind w:left="5184" w:hanging="576"/>
      </w:pPr>
      <w:rPr>
        <w:rFonts w:ascii="OpenSymbol" w:hAnsi="OpenSymbol" w:cs="OpenSymbol" w:hint="default"/>
        <w:sz w:val="18"/>
        <w:szCs w:val="18"/>
        <w:rFonts w:cs="StarSymbol"/>
      </w:rPr>
    </w:lvl>
  </w:abstractNum>
  <w:abstractNum w:abstractNumId="7">
    <w:lvl w:ilvl="0">
      <w:start w:val="1"/>
      <w:numFmt w:val="decimal"/>
      <w:lvlText w:val="%1."/>
      <w:lvlJc w:val="left"/>
      <w:pPr>
        <w:tabs>
          <w:tab w:val="num" w:pos="576"/>
        </w:tabs>
        <w:ind w:left="576" w:hanging="576"/>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576"/>
        </w:tabs>
        <w:ind w:left="576" w:hanging="576"/>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576"/>
        </w:tabs>
        <w:ind w:left="576" w:hanging="576"/>
      </w:pPr>
      <w:rPr>
        <w:rFonts w:ascii="Symbol" w:hAnsi="Symbol" w:cs="Symbol" w:hint="default"/>
        <w:sz w:val="18"/>
        <w:szCs w:val="18"/>
        <w:rFonts w:cs="StarSymbol"/>
      </w:rPr>
    </w:lvl>
    <w:lvl w:ilvl="1">
      <w:start w:val="1"/>
      <w:numFmt w:val="bullet"/>
      <w:lvlText w:val="◦"/>
      <w:lvlJc w:val="left"/>
      <w:pPr>
        <w:tabs>
          <w:tab w:val="num" w:pos="1152"/>
        </w:tabs>
        <w:ind w:left="1152" w:hanging="576"/>
      </w:pPr>
      <w:rPr>
        <w:rFonts w:ascii="OpenSymbol" w:hAnsi="OpenSymbol" w:cs="OpenSymbol" w:hint="default"/>
        <w:sz w:val="18"/>
        <w:szCs w:val="18"/>
        <w:rFonts w:cs="StarSymbol"/>
      </w:rPr>
    </w:lvl>
    <w:lvl w:ilvl="2">
      <w:start w:val="1"/>
      <w:numFmt w:val="bullet"/>
      <w:lvlText w:val="▪"/>
      <w:lvlJc w:val="left"/>
      <w:pPr>
        <w:tabs>
          <w:tab w:val="num" w:pos="1728"/>
        </w:tabs>
        <w:ind w:left="1728" w:hanging="576"/>
      </w:pPr>
      <w:rPr>
        <w:rFonts w:ascii="OpenSymbol" w:hAnsi="OpenSymbol" w:cs="OpenSymbol" w:hint="default"/>
        <w:sz w:val="18"/>
        <w:szCs w:val="18"/>
        <w:rFonts w:cs="StarSymbol"/>
      </w:rPr>
    </w:lvl>
    <w:lvl w:ilvl="3">
      <w:start w:val="1"/>
      <w:numFmt w:val="bullet"/>
      <w:lvlText w:val=""/>
      <w:lvlJc w:val="left"/>
      <w:pPr>
        <w:tabs>
          <w:tab w:val="num" w:pos="2304"/>
        </w:tabs>
        <w:ind w:left="2304" w:hanging="576"/>
      </w:pPr>
      <w:rPr>
        <w:rFonts w:ascii="Symbol" w:hAnsi="Symbol" w:cs="Symbol" w:hint="default"/>
        <w:sz w:val="18"/>
        <w:szCs w:val="18"/>
        <w:rFonts w:cs="StarSymbol"/>
      </w:rPr>
    </w:lvl>
    <w:lvl w:ilvl="4">
      <w:start w:val="1"/>
      <w:numFmt w:val="bullet"/>
      <w:lvlText w:val="◦"/>
      <w:lvlJc w:val="left"/>
      <w:pPr>
        <w:tabs>
          <w:tab w:val="num" w:pos="2880"/>
        </w:tabs>
        <w:ind w:left="2880" w:hanging="576"/>
      </w:pPr>
      <w:rPr>
        <w:rFonts w:ascii="OpenSymbol" w:hAnsi="OpenSymbol" w:cs="OpenSymbol" w:hint="default"/>
        <w:sz w:val="18"/>
        <w:szCs w:val="18"/>
        <w:rFonts w:cs="StarSymbol"/>
      </w:rPr>
    </w:lvl>
    <w:lvl w:ilvl="5">
      <w:start w:val="1"/>
      <w:numFmt w:val="bullet"/>
      <w:lvlText w:val="▪"/>
      <w:lvlJc w:val="left"/>
      <w:pPr>
        <w:tabs>
          <w:tab w:val="num" w:pos="3456"/>
        </w:tabs>
        <w:ind w:left="3456" w:hanging="576"/>
      </w:pPr>
      <w:rPr>
        <w:rFonts w:ascii="OpenSymbol" w:hAnsi="OpenSymbol" w:cs="OpenSymbol" w:hint="default"/>
        <w:sz w:val="18"/>
        <w:szCs w:val="18"/>
        <w:rFonts w:cs="StarSymbol"/>
      </w:rPr>
    </w:lvl>
    <w:lvl w:ilvl="6">
      <w:start w:val="1"/>
      <w:numFmt w:val="bullet"/>
      <w:lvlText w:val=""/>
      <w:lvlJc w:val="left"/>
      <w:pPr>
        <w:tabs>
          <w:tab w:val="num" w:pos="4032"/>
        </w:tabs>
        <w:ind w:left="4032" w:hanging="576"/>
      </w:pPr>
      <w:rPr>
        <w:rFonts w:ascii="Symbol" w:hAnsi="Symbol" w:cs="Symbol" w:hint="default"/>
        <w:sz w:val="18"/>
        <w:szCs w:val="18"/>
        <w:rFonts w:cs="StarSymbol"/>
      </w:rPr>
    </w:lvl>
    <w:lvl w:ilvl="7">
      <w:start w:val="1"/>
      <w:numFmt w:val="bullet"/>
      <w:lvlText w:val="◦"/>
      <w:lvlJc w:val="left"/>
      <w:pPr>
        <w:tabs>
          <w:tab w:val="num" w:pos="4608"/>
        </w:tabs>
        <w:ind w:left="4608" w:hanging="576"/>
      </w:pPr>
      <w:rPr>
        <w:rFonts w:ascii="OpenSymbol" w:hAnsi="OpenSymbol" w:cs="OpenSymbol" w:hint="default"/>
        <w:sz w:val="18"/>
        <w:szCs w:val="18"/>
        <w:rFonts w:cs="StarSymbol"/>
      </w:rPr>
    </w:lvl>
    <w:lvl w:ilvl="8">
      <w:start w:val="1"/>
      <w:numFmt w:val="bullet"/>
      <w:lvlText w:val="▪"/>
      <w:lvlJc w:val="left"/>
      <w:pPr>
        <w:tabs>
          <w:tab w:val="num" w:pos="5184"/>
        </w:tabs>
        <w:ind w:left="5184" w:hanging="576"/>
      </w:pPr>
      <w:rPr>
        <w:rFonts w:ascii="OpenSymbol" w:hAnsi="OpenSymbol" w:cs="OpenSymbol" w:hint="default"/>
        <w:sz w:val="18"/>
        <w:szCs w:val="18"/>
        <w:rFonts w:cs="Star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sz w:val="24"/>
        <w:szCs w:val="24"/>
        <w:lang w:val="en-US" w:eastAsia="zxx" w:bidi="zxx"/>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sz w:val="24"/>
      <w:szCs w:val="24"/>
      <w:lang w:val="en-US" w:eastAsia="zxx" w:bidi="zxx"/>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Footer">
    <w:name w:val="Footer"/>
    <w:basedOn w:val="Normal"/>
    <w:pPr>
      <w:suppressLineNumbers/>
      <w:tabs>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List1">
    <w:name w:val="List 1"/>
    <w:qFormat/>
  </w:style>
  <w:style w:type="numbering" w:styleId="List2">
    <w:name w:val="List 2"/>
    <w:qFormat/>
  </w:style>
  <w:style w:type="numbering" w:styleId="List3">
    <w:name w:val="List 3"/>
    <w:qFormat/>
  </w:style>
  <w:style w:type="numbering" w:styleId="List4">
    <w:name w:val="List 4"/>
    <w:qFormat/>
  </w:style>
  <w:style w:type="numbering" w:styleId="List5">
    <w:name w:val="List 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LibreOffice/5.3.7.2.0$Linux_X86_64 LibreOffice_project/30m0$Build-2</Application>
  <Pages>13</Pages>
  <Words>3536</Words>
  <Characters>23020</Characters>
  <CharactersWithSpaces>26460</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2019-11-16T14:34:13Z</dcterms:modified>
  <cp:revision>1</cp:revision>
  <dc:subject/>
  <dc:title/>
</cp:coreProperties>
</file>