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b w:val="0"/>
          <w:bCs w:val="0"/>
          <w:color w:val="17365d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17365d"/>
          <w:rtl w:val="0"/>
        </w:rPr>
        <w:t xml:space="preserve">SCODA – Daily Meeting 33– Sprint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Fecha: 21-11-2025</w:t>
        <w:br w:type="textWrapping"/>
        <w:t xml:space="preserve">Participantes: José Rojas, Francisco Pizarro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¿Qué hice ayer?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José (Frontend): Avancé en el manual de usuario, documentando los flujos de login, cursos, retiros, contacto de apoderados y dashboard.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Francisco (Backend): Actualicé la documentación de API y verifiqué la configuración del backend en el entorno de despliegue.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¿Qué haré hoy?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José (Frontend): Haré pruebas finales en modo release y cerraré detalles del manual.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Francisco (Backend): Realizar pruebas integrales app–backend en entorno de producción y prepararé un resumen de endpoints y estados para la presentación final.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¿Impedimentos?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José (Frontend): Ninguno, salvo posibles tiempos de compilación.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Francisco (Backend): Ninguno.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Kfadwid03k24xum43RUHhO8w+w==">CgMxLjA4AHIhMTUtdU9xcURxd0oyc3VYVGEwdnpIRkZ0T2lLb1h3eVZ6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2025-11-21T17:13:00Z</dcterms:created>
  <dc:creator>python-docx</dc:creator>
</cp:coreProperties>
</file>