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CE" w:rsidRPr="00C03DC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CYP2A6 GENE SNPs ASSOCIATION WITH INTRACRANIAL ANEURYSMS </w:t>
      </w:r>
      <w:r w:rsidR="0012086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SMOKING HABITS IN THE ITALIAN POPULATION.</w:t>
      </w:r>
    </w:p>
    <w:p w:rsidR="00C03DCE" w:rsidRPr="00C03DCE" w:rsidRDefault="00C03DC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lang w:val="en-US"/>
        </w:rPr>
      </w:pPr>
    </w:p>
    <w:p w:rsidR="009C2BC6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CE">
        <w:rPr>
          <w:rFonts w:ascii="Times New Roman" w:hAnsi="Times New Roman" w:cs="Times New Roman"/>
          <w:sz w:val="24"/>
          <w:szCs w:val="24"/>
        </w:rPr>
        <w:t xml:space="preserve">Ferrari E., </w:t>
      </w:r>
      <w:proofErr w:type="spellStart"/>
      <w:r w:rsidRPr="00C03DCE">
        <w:rPr>
          <w:rFonts w:ascii="Times New Roman" w:hAnsi="Times New Roman" w:cs="Times New Roman"/>
          <w:sz w:val="24"/>
          <w:szCs w:val="24"/>
        </w:rPr>
        <w:t>Fiorindi</w:t>
      </w:r>
      <w:proofErr w:type="spellEnd"/>
      <w:r w:rsidRPr="00C03DCE">
        <w:rPr>
          <w:rFonts w:ascii="Times New Roman" w:hAnsi="Times New Roman" w:cs="Times New Roman"/>
          <w:sz w:val="24"/>
          <w:szCs w:val="24"/>
        </w:rPr>
        <w:t xml:space="preserve"> A.,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C., </w:t>
      </w:r>
      <w:r w:rsidRPr="00C03DCE">
        <w:rPr>
          <w:rFonts w:ascii="Times New Roman" w:hAnsi="Times New Roman" w:cs="Times New Roman"/>
          <w:sz w:val="24"/>
          <w:szCs w:val="24"/>
        </w:rPr>
        <w:t>Fontanella M.M.</w:t>
      </w:r>
    </w:p>
    <w:p w:rsidR="00C03DCE" w:rsidRDefault="00C51E64" w:rsidP="00EA7A4E">
      <w:pPr>
        <w:spacing w:line="60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</w:t>
      </w:r>
      <w:r w:rsidRPr="00C03DCE">
        <w:rPr>
          <w:rFonts w:ascii="Times New Roman" w:hAnsi="Times New Roman" w:cs="Times New Roman"/>
          <w:lang w:val="en-US"/>
        </w:rPr>
        <w:t xml:space="preserve">Department of Neurosurgery, </w:t>
      </w:r>
      <w:proofErr w:type="spellStart"/>
      <w:r w:rsidRPr="00C03DCE">
        <w:rPr>
          <w:rFonts w:ascii="Times New Roman" w:hAnsi="Times New Roman" w:cs="Times New Roman"/>
          <w:lang w:val="en-US"/>
        </w:rPr>
        <w:t>Spedali</w:t>
      </w:r>
      <w:proofErr w:type="spellEnd"/>
      <w:r w:rsidRPr="00C03D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DCE">
        <w:rPr>
          <w:rFonts w:ascii="Times New Roman" w:hAnsi="Times New Roman" w:cs="Times New Roman"/>
          <w:lang w:val="en-US"/>
        </w:rPr>
        <w:t>Ci</w:t>
      </w:r>
      <w:r>
        <w:rPr>
          <w:rFonts w:ascii="Times New Roman" w:hAnsi="Times New Roman" w:cs="Times New Roman"/>
          <w:lang w:val="en-US"/>
        </w:rPr>
        <w:t>vi</w:t>
      </w:r>
      <w:r w:rsidRPr="00C03DCE">
        <w:rPr>
          <w:rFonts w:ascii="Times New Roman" w:hAnsi="Times New Roman" w:cs="Times New Roman"/>
          <w:lang w:val="en-US"/>
        </w:rPr>
        <w:t>li</w:t>
      </w:r>
      <w:proofErr w:type="spellEnd"/>
      <w:r w:rsidRPr="00C03DCE">
        <w:rPr>
          <w:rFonts w:ascii="Times New Roman" w:hAnsi="Times New Roman" w:cs="Times New Roman"/>
          <w:lang w:val="en-US"/>
        </w:rPr>
        <w:t xml:space="preserve"> of Brescia (Italy), University of Brescia</w:t>
      </w:r>
    </w:p>
    <w:p w:rsidR="00C03DCE" w:rsidRPr="00C03DC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DCE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Background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Cigarette smoking is a long-known risk factor associated with the formation and rupture of intracranial aneurysms (IA), resulting in subarachnoid hemorrhage</w:t>
      </w:r>
      <w:r w:rsidR="00120869">
        <w:rPr>
          <w:rFonts w:ascii="Times New Roman" w:hAnsi="Times New Roman" w:cs="Times New Roman"/>
          <w:sz w:val="24"/>
          <w:szCs w:val="24"/>
          <w:lang w:val="en-US"/>
        </w:rPr>
        <w:t xml:space="preserve"> (SAH)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Pr="00C03DCE">
        <w:rPr>
          <w:rFonts w:ascii="Times New Roman" w:hAnsi="Times New Roman" w:cs="Times New Roman"/>
          <w:sz w:val="24"/>
          <w:szCs w:val="24"/>
          <w:lang w:val="en-US"/>
        </w:rPr>
        <w:t>pathogenetic</w:t>
      </w:r>
      <w:proofErr w:type="spellEnd"/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 mechanism involves vascular endothelial damage triggered by oxidative stres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s products: some of these can be introduced into the body directly through smoking, while others derive from nicotine and </w:t>
      </w:r>
      <w:proofErr w:type="spellStart"/>
      <w:r w:rsidRPr="00C03DCE">
        <w:rPr>
          <w:rFonts w:ascii="Times New Roman" w:hAnsi="Times New Roman" w:cs="Times New Roman"/>
          <w:sz w:val="24"/>
          <w:szCs w:val="24"/>
          <w:lang w:val="en-US"/>
        </w:rPr>
        <w:t>xenobiotics</w:t>
      </w:r>
      <w:proofErr w:type="spellEnd"/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 catabolism due to </w:t>
      </w:r>
      <w:proofErr w:type="spellStart"/>
      <w:r w:rsidRPr="00C03DCE">
        <w:rPr>
          <w:rFonts w:ascii="Times New Roman" w:hAnsi="Times New Roman" w:cs="Times New Roman"/>
          <w:sz w:val="24"/>
          <w:szCs w:val="24"/>
          <w:lang w:val="en-US"/>
        </w:rPr>
        <w:t>cytochrome</w:t>
      </w:r>
      <w:proofErr w:type="spellEnd"/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 P450 activity. The goal of our study was to assess the relationship between IA and human </w:t>
      </w:r>
      <w:proofErr w:type="spellStart"/>
      <w:r w:rsidRPr="00C03DCE">
        <w:rPr>
          <w:rFonts w:ascii="Times New Roman" w:hAnsi="Times New Roman" w:cs="Times New Roman"/>
          <w:sz w:val="24"/>
          <w:szCs w:val="24"/>
          <w:lang w:val="en-US"/>
        </w:rPr>
        <w:t>cyto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chrome</w:t>
      </w:r>
      <w:proofErr w:type="spellEnd"/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 P450 </w:t>
      </w:r>
      <w:r w:rsidRPr="00C03DCE"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 2 subfamily A member 6 (CYP2A6)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 gene SNPs.</w:t>
      </w:r>
    </w:p>
    <w:p w:rsidR="00C03DCE" w:rsidRPr="00C03DC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DCE">
        <w:rPr>
          <w:rFonts w:ascii="Times New Roman" w:hAnsi="Times New Roman" w:cs="Times New Roman"/>
          <w:i/>
          <w:iCs/>
          <w:sz w:val="24"/>
          <w:szCs w:val="24"/>
          <w:lang w:val="en-US"/>
        </w:rPr>
        <w:t>Materials and Methods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: A case-control study was conducted on a population of 331 IA patients and 150 healthy controls. Three SNPs from the CYP2A6 gene, specifically responsible for nicotine meta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bolism, were analyzed on a biological sample (blood). Statistical analysis was performed to assess the presence of an association between these variants and IA natural history, with particular regard to smoking habits.</w:t>
      </w:r>
    </w:p>
    <w:p w:rsidR="00C03DCE" w:rsidRPr="00C03DC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DCE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Results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: In our cohort, the well-know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n correlation between ruptured IA and cigarette smoking habits was confirmed, regardless of SNPs pattern. A slight correlation between heterozygous allele *14 and IA bleeding emerged from statistical analysis, that appears to be independent of smoking 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lastRenderedPageBreak/>
        <w:t>habi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ts. A correlation between bleeding IA and smoking habits was also detected in patients presenting heterozygous *B2 allele.  </w:t>
      </w:r>
    </w:p>
    <w:p w:rsidR="00C03DCE" w:rsidRPr="00042BDA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DCE">
        <w:rPr>
          <w:rFonts w:ascii="Times New Roman" w:hAnsi="Times New Roman" w:cs="Times New Roman"/>
          <w:i/>
          <w:iCs/>
          <w:sz w:val="24"/>
          <w:szCs w:val="24"/>
          <w:lang w:val="en-US"/>
        </w:rPr>
        <w:t>Conclusions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>: This study suggests that a gene variation coding for a fully active CYP2A6 enzyme determines an augmented production of oxidizing substances, compared to functionally less active proteins, leading to IA rupture. The enzymatic activity associated with the</w:t>
      </w:r>
      <w:r w:rsidRPr="00C03DCE">
        <w:rPr>
          <w:rFonts w:ascii="Times New Roman" w:hAnsi="Times New Roman" w:cs="Times New Roman"/>
          <w:sz w:val="24"/>
          <w:szCs w:val="24"/>
          <w:lang w:val="en-US"/>
        </w:rPr>
        <w:t xml:space="preserve"> allele *14  and its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correlation with IA rupture, independent from smoking habits, needs further investigation.</w:t>
      </w:r>
    </w:p>
    <w:p w:rsidR="00C03DCE" w:rsidRPr="00042BDA" w:rsidRDefault="00C03DCE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0ECA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: intracranial aneurysms – </w:t>
      </w:r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>subarachnoid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hemorrhage - cigarette smoking –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cytochrome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P450 – CYP2A6</w:t>
      </w:r>
    </w:p>
    <w:p w:rsidR="001A0ECA" w:rsidRDefault="00C51E64" w:rsidP="00EA7A4E">
      <w:pPr>
        <w:spacing w:line="60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C1F8D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INTRODUCTION</w:t>
      </w:r>
    </w:p>
    <w:p w:rsidR="001720A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Despite its low preval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ence (5-10% in the general population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[]),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impact of intracranial aneurysms rupture on public health is overwhelming. It’s been </w:t>
      </w:r>
      <w:r w:rsidR="003A31A2" w:rsidRPr="00042BD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stimated</w:t>
      </w:r>
      <w:r w:rsidR="003A31A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that aneurismal subarachnoid h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emorrhage</w:t>
      </w:r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A31A2" w:rsidRPr="00042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>SAH</w:t>
      </w:r>
      <w:proofErr w:type="spellEnd"/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has a mortality rate of nearly 65%, with most of </w:t>
      </w:r>
      <w:r w:rsidR="004B5A6B" w:rsidRPr="00042BDA">
        <w:rPr>
          <w:rFonts w:ascii="Times New Roman" w:hAnsi="Times New Roman" w:cs="Times New Roman"/>
          <w:sz w:val="24"/>
          <w:szCs w:val="24"/>
          <w:lang w:val="en-US"/>
        </w:rPr>
        <w:t>death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 occurring during the first hours after the event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Even early surgical intervention, </w:t>
      </w:r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proved to be effective in reducing mortality rates </w:t>
      </w:r>
      <w:r w:rsidR="006D1ACF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carries a</w:t>
      </w:r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>n intrinsic high risk of severe and moderate morbidity.</w:t>
      </w:r>
    </w:p>
    <w:p w:rsidR="001E3011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B5A6B" w:rsidRPr="00042BDA">
        <w:rPr>
          <w:rFonts w:ascii="Times New Roman" w:hAnsi="Times New Roman" w:cs="Times New Roman"/>
          <w:sz w:val="24"/>
          <w:szCs w:val="24"/>
          <w:lang w:val="en-US"/>
        </w:rPr>
        <w:t>athophysiological</w:t>
      </w:r>
      <w:proofErr w:type="spellEnd"/>
      <w:r w:rsidR="004B5A6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mechanism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5A6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intracranial aneurysms </w:t>
      </w:r>
      <w:r w:rsidR="003A31A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developing </w:t>
      </w:r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and evolution toward rupture </w:t>
      </w:r>
      <w:r w:rsidR="00FC114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are not yet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clarified. </w:t>
      </w:r>
      <w:r w:rsidR="00255BDE" w:rsidRPr="00042BD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isk factors have been identified</w:t>
      </w:r>
      <w:r w:rsidR="006D1AC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including cigarette smoking, female gender, vascular hypertension, increasing age, alcohol consumption and family history of intracranial aneurysm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rupture </w:t>
      </w:r>
      <w:r w:rsidR="006D1ACF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="00255BD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364B6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enetically determined diseases, as well as genetic polymorphisms, have been related to the developing of </w:t>
      </w:r>
      <w:proofErr w:type="spellStart"/>
      <w:r w:rsidR="00364B62" w:rsidRPr="00042BDA">
        <w:rPr>
          <w:rFonts w:ascii="Times New Roman" w:hAnsi="Times New Roman" w:cs="Times New Roman"/>
          <w:sz w:val="24"/>
          <w:szCs w:val="24"/>
          <w:lang w:val="en-US"/>
        </w:rPr>
        <w:t>aSAH</w:t>
      </w:r>
      <w:proofErr w:type="spellEnd"/>
      <w:r w:rsidR="00364B6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too </w:t>
      </w:r>
      <w:r w:rsidR="00364B62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="00364B6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586D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prevalence of smoking habits in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aSAH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patients is around 20-35% (with variation from 45% to 75% in North America and Europe)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BB5" w:rsidRPr="00042BDA">
        <w:rPr>
          <w:rFonts w:ascii="Times New Roman" w:hAnsi="Times New Roman" w:cs="Times New Roman"/>
          <w:sz w:val="24"/>
          <w:szCs w:val="24"/>
          <w:lang w:val="en-US"/>
        </w:rPr>
        <w:t>The risk of aneurysms rupture in smokers is dose-dependent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has been estimated to be nearly 6 times greater than in no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nsmokers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mechanisms triggered by cigarette smoking involve a reduction of flow-mediated dilation (Nitric Oxide production) and formation of a pro-oxidative and pro-inflammatory environment, as well as direct damage to vascular endothelium (cells contraction and death) and increased proliferation and migration of vascular smooth muscle cells </w:t>
      </w:r>
      <w:r w:rsidR="0047467B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44BB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moke 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>contains more than 4’000 different substances</w:t>
      </w:r>
      <w:r w:rsidR="00344BB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responsible for vascular damage is </w:t>
      </w:r>
      <w:r w:rsidR="00344BB5" w:rsidRPr="00042BDA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>t only a single component or a single class (e.g.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oxidants)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>, but rather a commingling of them</w:t>
      </w:r>
      <w:r w:rsidR="00947013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013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107AD5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most known is probably nicotine, a tertiary amine determining 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activation of cerebral reward circuits that causes smoking addiction. Furthermore, studies have shown that nicotine plays an active role in vascular damage, causing alteration of flow-mediated </w:t>
      </w:r>
      <w:proofErr w:type="spellStart"/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>vasodilation</w:t>
      </w:r>
      <w:proofErr w:type="spellEnd"/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large arteries </w:t>
      </w:r>
      <w:r w:rsidR="0047467B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="001A461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nteraction of 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>these substances with genetic factors and wi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 the environment 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>determines the beginning, the location and 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he rate of progression of </w:t>
      </w:r>
      <w:r w:rsidR="00107AD5" w:rsidRPr="00042BDA">
        <w:rPr>
          <w:rFonts w:ascii="Times New Roman" w:hAnsi="Times New Roman" w:cs="Times New Roman"/>
          <w:sz w:val="24"/>
          <w:szCs w:val="24"/>
          <w:lang w:val="en-US"/>
        </w:rPr>
        <w:t>vascular disease.</w:t>
      </w:r>
      <w:r w:rsidR="007B57D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Being exogenous substances, the principal mechanism involved in the metabolism of smoke components is the </w:t>
      </w:r>
      <w:proofErr w:type="spellStart"/>
      <w:r w:rsidR="001A461D" w:rsidRPr="00042BDA">
        <w:rPr>
          <w:rFonts w:ascii="Times New Roman" w:hAnsi="Times New Roman" w:cs="Times New Roman"/>
          <w:sz w:val="24"/>
          <w:szCs w:val="24"/>
          <w:lang w:val="en-US"/>
        </w:rPr>
        <w:t>microsomal</w:t>
      </w:r>
      <w:proofErr w:type="spellEnd"/>
      <w:r w:rsidR="001A461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liver </w:t>
      </w:r>
      <w:proofErr w:type="spellStart"/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>cytochrome</w:t>
      </w:r>
      <w:proofErr w:type="spellEnd"/>
      <w:r w:rsidR="001A461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P450 enzymatic 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1A461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(CYP)</w:t>
      </w:r>
      <w:r w:rsidR="0047467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0C19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vitro studies have shown that nicotine is mainly metabolized by the CYP2A6 </w:t>
      </w:r>
      <w:proofErr w:type="spellStart"/>
      <w:r w:rsidR="00270C19" w:rsidRPr="00042BDA">
        <w:rPr>
          <w:rFonts w:ascii="Times New Roman" w:hAnsi="Times New Roman" w:cs="Times New Roman"/>
          <w:sz w:val="24"/>
          <w:szCs w:val="24"/>
          <w:lang w:val="en-US"/>
        </w:rPr>
        <w:t>isoform</w:t>
      </w:r>
      <w:proofErr w:type="spellEnd"/>
      <w:r w:rsidR="006F6AC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6ACE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270C19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270C19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whose gene is located on chromos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ome 19q13.2</w:t>
      </w:r>
      <w:r w:rsidR="00270C19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Numerous allelic variants and SNPs (Single Nucleotide Polymorphisms) of the gene have been identified, some of which have been associated with phenotypic variability in nicotine metabolism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</w:p>
    <w:p w:rsidR="001A461D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This study proposes an analysis of three CYP2A6 gene SNPs, to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evaluate whether a </w:t>
      </w:r>
      <w:r w:rsidR="003457A9" w:rsidRPr="00042BDA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allele or genotype </w:t>
      </w:r>
      <w:r w:rsidR="003457A9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related to smoking habits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would influence the </w:t>
      </w:r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>presence of intracranial aneurysms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the occurrence </w:t>
      </w:r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>of aneurismal SAH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MATERIALS AND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:rsidR="0020053D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i/>
          <w:sz w:val="24"/>
          <w:szCs w:val="24"/>
          <w:lang w:val="en-US"/>
        </w:rPr>
        <w:t>Patient selection</w:t>
      </w:r>
    </w:p>
    <w:p w:rsidR="00E10501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We recruited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331 consecutive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unrelated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patients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IA documented by </w:t>
      </w:r>
      <w:proofErr w:type="spellStart"/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>neuroimaging</w:t>
      </w:r>
      <w:proofErr w:type="spellEnd"/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(brain </w:t>
      </w:r>
      <w:proofErr w:type="spellStart"/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>angioCT</w:t>
      </w:r>
      <w:proofErr w:type="spellEnd"/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scan and DSA)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admitted to the Neurosurgery</w:t>
      </w:r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Department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>Turin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University between January 2001 and December 2011.</w:t>
      </w:r>
      <w:r w:rsidR="004B23F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Exclusion criteria were: death soon af</w:t>
      </w:r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ter diagnosis;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angiographically</w:t>
      </w:r>
      <w:proofErr w:type="spellEnd"/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negative SAH;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patient carrying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inherited genetic diseases associated with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aneurysm formation (</w:t>
      </w:r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e.g.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fan</w:t>
      </w:r>
      <w:proofErr w:type="spellEnd"/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, Ehlers-</w:t>
      </w:r>
      <w:proofErr w:type="spellStart"/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Danlos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type IV</w:t>
      </w:r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.); </w:t>
      </w:r>
      <w:r w:rsidR="006F0A7A" w:rsidRPr="00042BDA">
        <w:rPr>
          <w:rFonts w:ascii="Times New Roman" w:hAnsi="Times New Roman" w:cs="Times New Roman"/>
          <w:sz w:val="24"/>
          <w:szCs w:val="24"/>
          <w:lang w:val="en-US"/>
        </w:rPr>
        <w:t>SAH related to rupture of other intracranial vascular malformations (AVMs, AVFs, …)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this group we collected detailed information about: 1) single </w:t>
      </w:r>
      <w:r w:rsidR="0079273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(278 pts, 84%) </w:t>
      </w:r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>versus multiple aneurysms</w:t>
      </w:r>
      <w:r w:rsidR="0079273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(53 pts, 16%)</w:t>
      </w:r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; 2) </w:t>
      </w:r>
      <w:proofErr w:type="spellStart"/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>aSAH</w:t>
      </w:r>
      <w:proofErr w:type="spellEnd"/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at diagnosis</w:t>
      </w:r>
      <w:r w:rsidR="0079273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(255 pts, 77%)</w:t>
      </w:r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>; 3) smoking habit at the time of diagnosis</w:t>
      </w:r>
      <w:r w:rsidR="0079273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>defined as more than 10 cigarettes smoked per day</w:t>
      </w:r>
      <w:r w:rsidR="0079273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(84 pts, 25.4%</w:t>
      </w:r>
      <w:r w:rsidR="002405AD" w:rsidRPr="00042BD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0053D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The control group was formed by 150</w:t>
      </w:r>
      <w:r w:rsidR="00E1050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healthy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individuals selected from a cohort of blood donor patients</w:t>
      </w:r>
      <w:r w:rsidR="005E3BF0" w:rsidRPr="00042BDA">
        <w:rPr>
          <w:rFonts w:ascii="Times New Roman" w:hAnsi="Times New Roman" w:cs="Times New Roman"/>
          <w:sz w:val="24"/>
          <w:szCs w:val="24"/>
          <w:lang w:val="en-US"/>
        </w:rPr>
        <w:t>, matched with patients group for sex, age and geographic features</w:t>
      </w:r>
      <w:r w:rsidR="009A4479" w:rsidRPr="00042BDA">
        <w:rPr>
          <w:rFonts w:ascii="Times New Roman" w:hAnsi="Times New Roman" w:cs="Times New Roman"/>
          <w:sz w:val="24"/>
          <w:szCs w:val="24"/>
          <w:lang w:val="en-US"/>
        </w:rPr>
        <w:t>. The inclusion criterion was the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absence of IA at </w:t>
      </w:r>
      <w:proofErr w:type="spellStart"/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>neuro</w:t>
      </w:r>
      <w:r w:rsidR="009A4479" w:rsidRPr="00042BDA">
        <w:rPr>
          <w:rFonts w:ascii="Times New Roman" w:hAnsi="Times New Roman" w:cs="Times New Roman"/>
          <w:sz w:val="24"/>
          <w:szCs w:val="24"/>
          <w:lang w:val="en-US"/>
        </w:rPr>
        <w:t>imaging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250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study was approved by the </w:t>
      </w:r>
      <w:r w:rsidR="00E10501" w:rsidRPr="00042BDA">
        <w:rPr>
          <w:rFonts w:ascii="Times New Roman" w:hAnsi="Times New Roman" w:cs="Times New Roman"/>
          <w:sz w:val="24"/>
          <w:szCs w:val="24"/>
          <w:lang w:val="en-US"/>
        </w:rPr>
        <w:t>Hospital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Ethic Committee. Each partic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ipant provided written informed consent before the investigation.</w:t>
      </w: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9965E0" w:rsidRPr="00042BDA">
        <w:rPr>
          <w:rFonts w:ascii="Times New Roman" w:hAnsi="Times New Roman" w:cs="Times New Roman"/>
          <w:i/>
          <w:sz w:val="24"/>
          <w:szCs w:val="24"/>
          <w:lang w:val="en-US"/>
        </w:rPr>
        <w:t>enetic analysis</w:t>
      </w: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10DE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610DE7" w:rsidRPr="00042BDA">
        <w:rPr>
          <w:rFonts w:ascii="Times New Roman" w:hAnsi="Times New Roman" w:cs="Times New Roman"/>
          <w:sz w:val="24"/>
          <w:szCs w:val="24"/>
          <w:lang w:val="en-US"/>
        </w:rPr>
        <w:t>mL</w:t>
      </w:r>
      <w:proofErr w:type="spellEnd"/>
      <w:r w:rsidR="00610DE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blood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sample was taken from each participant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to the study and</w:t>
      </w:r>
      <w:r w:rsidR="00610DE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stored in EDTA</w:t>
      </w:r>
      <w:r w:rsidR="00610DE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tube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Cellular DNA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extraction 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sample was 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performed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QIAamp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DNA 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Blood M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Kit (Q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IAGEN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S.p.A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., Milan). 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Polymerase Chain Reaction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was performed according to standard methods: initially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denaturation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was performed at 95 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°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 for 10 minutes, followed by 35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denaturation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cycl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es at 95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°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 for 1 minute, annealing 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at a specific temperature of 60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°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 for 40 seconds for each 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couple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D3235E" w:rsidRPr="00042BDA">
        <w:rPr>
          <w:rFonts w:ascii="Times New Roman" w:hAnsi="Times New Roman" w:cs="Times New Roman"/>
          <w:sz w:val="24"/>
          <w:szCs w:val="24"/>
          <w:lang w:val="en-US"/>
        </w:rPr>
        <w:t>f primers, then extension at 72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°C for 1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minute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a final extension at 72 °C for 5 minutes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The PCR products were loaded 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 2% TBE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agarose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gel and 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stained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BrEt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All genetic analy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es were performed at the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Cytogenetics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Laboratory of </w:t>
      </w:r>
      <w:r w:rsidR="00B827BB" w:rsidRPr="00042BDA">
        <w:rPr>
          <w:rFonts w:ascii="Times New Roman" w:hAnsi="Times New Roman" w:cs="Times New Roman"/>
          <w:sz w:val="24"/>
          <w:szCs w:val="24"/>
          <w:lang w:val="en-US"/>
        </w:rPr>
        <w:t>Turin University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We examined the following CYP2A6 gene </w:t>
      </w:r>
      <w:r w:rsidR="00E92083" w:rsidRPr="00042BDA">
        <w:rPr>
          <w:rFonts w:ascii="Times New Roman" w:hAnsi="Times New Roman" w:cs="Times New Roman"/>
          <w:sz w:val="24"/>
          <w:szCs w:val="24"/>
          <w:lang w:val="en-US"/>
        </w:rPr>
        <w:t>allelic variants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92423" w:rsidRPr="00042BDA" w:rsidRDefault="00C51E64" w:rsidP="00EA7A4E">
      <w:pPr>
        <w:pStyle w:val="Paragrafoelenco"/>
        <w:numPr>
          <w:ilvl w:val="0"/>
          <w:numId w:val="3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allele CYP2A6 *2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c.51G&gt; A and 1799T&gt; A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c.479T&gt; A,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Yamano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1990,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Hadidi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1997,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Oscarson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1998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, resulting in enzyme deactivation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2423" w:rsidRPr="00042BDA" w:rsidRDefault="00C51E64" w:rsidP="00EA7A4E">
      <w:pPr>
        <w:pStyle w:val="Paragrafoelenco"/>
        <w:numPr>
          <w:ilvl w:val="0"/>
          <w:numId w:val="3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allele CYP2A6 *B2 (gene conversion adjacent to 3' region and -1031A&gt; G)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Oscarson</w:t>
      </w:r>
      <w:proofErr w:type="spellEnd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1999b,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Ariyoshi</w:t>
      </w:r>
      <w:proofErr w:type="spellEnd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2000,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Pitarque</w:t>
      </w:r>
      <w:proofErr w:type="spellEnd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2004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), a variant of the wild</w:t>
      </w:r>
      <w:r w:rsidR="00591700" w:rsidRPr="00042B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type gene;</w:t>
      </w:r>
    </w:p>
    <w:p w:rsidR="00600E05" w:rsidRPr="00042BDA" w:rsidRDefault="00C51E64" w:rsidP="00EA7A4E">
      <w:pPr>
        <w:pStyle w:val="Paragrafoelenco"/>
        <w:numPr>
          <w:ilvl w:val="0"/>
          <w:numId w:val="3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allele CYP2A6 *14 </w:t>
      </w:r>
      <w:r w:rsidR="00592423" w:rsidRPr="00042B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51G&gt; A and 86G&gt; A</w:t>
      </w:r>
      <w:r w:rsidR="00592423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92423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>Kiyotani</w:t>
      </w:r>
      <w:proofErr w:type="spellEnd"/>
      <w:r w:rsidRPr="00042B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2002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92423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whose functionality at phenotypic level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has not yet been defined.</w:t>
      </w:r>
    </w:p>
    <w:p w:rsidR="00B14B9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Combining </w:t>
      </w:r>
      <w:r w:rsidR="00591700" w:rsidRPr="00042BDA">
        <w:rPr>
          <w:rFonts w:ascii="Times New Roman" w:hAnsi="Times New Roman" w:cs="Times New Roman"/>
          <w:sz w:val="24"/>
          <w:szCs w:val="24"/>
          <w:lang w:val="en-US"/>
        </w:rPr>
        <w:t>different allelic variants, we divided the analyz</w:t>
      </w:r>
      <w:r w:rsidR="00C712D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ed population into 8 different </w:t>
      </w:r>
      <w:r w:rsidR="00591700" w:rsidRPr="00042BDA">
        <w:rPr>
          <w:rFonts w:ascii="Times New Roman" w:hAnsi="Times New Roman" w:cs="Times New Roman"/>
          <w:sz w:val="24"/>
          <w:szCs w:val="24"/>
          <w:lang w:val="en-US"/>
        </w:rPr>
        <w:t>groups:</w:t>
      </w:r>
    </w:p>
    <w:p w:rsidR="00591700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AA-AG-CC: *2 not expressed, *B2 heterozygous, *14 not expressed;</w:t>
      </w:r>
    </w:p>
    <w:p w:rsidR="00591700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AA-AA-CC: *2 not expressed, *B2 not expressed, *14 not expressed;</w:t>
      </w:r>
    </w:p>
    <w:p w:rsidR="00591700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A-AG-CT: *2 not expressed, *B2 heterozygous, *14 heterozygous;</w:t>
      </w:r>
    </w:p>
    <w:p w:rsidR="00591700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ind w:left="708" w:hanging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AT-AG-CC: *2 heterozygous, *B2 heterozygous, *14 not expressed;</w:t>
      </w:r>
    </w:p>
    <w:p w:rsidR="00591700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ind w:left="708" w:hanging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AT-AA-CC: *2 heterozygous, *B2 not expressed, *14 not expressed;</w:t>
      </w:r>
    </w:p>
    <w:p w:rsidR="00591700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ind w:left="708" w:hanging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AA-GG-CC: *2 not expressed, *B2 homozygous, *14 not expressed;</w:t>
      </w:r>
    </w:p>
    <w:p w:rsidR="000417B7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ind w:left="708" w:hanging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AT-AG-CT: *2 heterozygous, *B2 heterozygous, *14 heterozygous;</w:t>
      </w:r>
    </w:p>
    <w:p w:rsidR="000417B7" w:rsidRPr="00042BDA" w:rsidRDefault="00C51E64" w:rsidP="00EA7A4E">
      <w:pPr>
        <w:pStyle w:val="Paragrafoelenco"/>
        <w:numPr>
          <w:ilvl w:val="0"/>
          <w:numId w:val="4"/>
        </w:numPr>
        <w:spacing w:line="600" w:lineRule="auto"/>
        <w:ind w:left="708" w:hanging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AA-AA-CT: *2 not expressed, *B2 not expressed, *14 heterozygous.</w:t>
      </w:r>
    </w:p>
    <w:p w:rsidR="00C712DA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i/>
          <w:sz w:val="24"/>
          <w:szCs w:val="24"/>
          <w:lang w:val="en-US"/>
        </w:rPr>
        <w:t>Statistic analysis</w:t>
      </w: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he Hardy-Weinberg equilibrium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was verified with the χ</w:t>
      </w:r>
      <w:r w:rsidRPr="00042B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test. Statistical analyses were performed using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Genep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op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version 4.0 (http://wbiomed. curtin.edu.au/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genepop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SigmaStat</w:t>
      </w:r>
      <w:proofErr w:type="spellEnd"/>
      <w:r w:rsidR="006E227C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version 3.1 (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Jandel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Corp., San Rafael, California).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The distribution of allel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ic variants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A4146" w:rsidRPr="00042BDA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was compared using the χ</w:t>
      </w:r>
      <w:r w:rsidR="009965E0" w:rsidRPr="00042B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test. ANOVA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(Fisher test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 was used to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analyze the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differences in allelic expression between patients and control group, as well as in patients group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according to different clinical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 We use Genetic Power Calculator to calculate the power of association of the study.</w:t>
      </w:r>
      <w:r w:rsidR="00CA414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According to the guidelines for genetic association studies, the level of statistical si</w:t>
      </w:r>
      <w:r w:rsidR="00CA414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gnificance was set with </w:t>
      </w:r>
      <w:r w:rsidR="00CA4146" w:rsidRPr="00042BD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A414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&lt;0.01 </w:t>
      </w:r>
      <w:r w:rsidR="00CA4146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[].</w:t>
      </w:r>
      <w:r w:rsidR="00CA414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omparing clinical features, the level of statistical significance was set with </w:t>
      </w:r>
      <w:r w:rsidR="009965E0" w:rsidRPr="00042BD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&lt;0.05.</w:t>
      </w: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C1F8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population examined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was not in Hardy-Weinberg equilibrium.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169" w:rsidRPr="00042BDA">
        <w:rPr>
          <w:rFonts w:ascii="Times New Roman" w:hAnsi="Times New Roman" w:cs="Times New Roman"/>
          <w:sz w:val="24"/>
          <w:szCs w:val="24"/>
          <w:lang w:val="en-US"/>
        </w:rPr>
        <w:t>Single al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lelic variants frequency in patients group compared to healthy people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showed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D5169" w:rsidRPr="00042BDA">
        <w:rPr>
          <w:rFonts w:ascii="Times New Roman" w:hAnsi="Times New Roman" w:cs="Times New Roman"/>
          <w:i/>
          <w:sz w:val="24"/>
          <w:szCs w:val="24"/>
          <w:lang w:val="en-US"/>
        </w:rPr>
        <w:t>Table 1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There 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significant difference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the three 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SNPs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between the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two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132750"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Sfondomedio21"/>
        <w:tblW w:w="0" w:type="auto"/>
        <w:tblLayout w:type="fixed"/>
        <w:tblLook w:val="04A0"/>
      </w:tblPr>
      <w:tblGrid>
        <w:gridCol w:w="1066"/>
        <w:gridCol w:w="1201"/>
        <w:gridCol w:w="1134"/>
        <w:gridCol w:w="1134"/>
        <w:gridCol w:w="1222"/>
        <w:gridCol w:w="1046"/>
        <w:gridCol w:w="1197"/>
        <w:gridCol w:w="1072"/>
      </w:tblGrid>
      <w:tr w:rsidR="00344CE3" w:rsidRPr="00EA7A4E" w:rsidTr="00344CE3">
        <w:trPr>
          <w:cnfStyle w:val="100000000000"/>
          <w:trHeight w:val="1"/>
        </w:trPr>
        <w:tc>
          <w:tcPr>
            <w:cnfStyle w:val="001000000100"/>
            <w:tcW w:w="9072" w:type="dxa"/>
            <w:gridSpan w:val="8"/>
            <w:shd w:val="clear" w:color="auto" w:fill="BFBFBF" w:themeFill="background1" w:themeFillShade="BF"/>
          </w:tcPr>
          <w:p w:rsidR="00600E05" w:rsidRPr="00DD53CB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DD53CB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Tab</w:t>
            </w:r>
            <w:r w:rsidR="00E5352C" w:rsidRPr="00DD53CB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le</w:t>
            </w:r>
            <w:r w:rsidR="004D5169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 1. </w:t>
            </w:r>
            <w:r w:rsidRPr="00DD53CB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r w:rsidR="00E5352C" w:rsidRPr="00DD53CB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Allelic variants frequency between patient and control groups</w:t>
            </w:r>
            <w:r w:rsidRPr="00DD53CB"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r w:rsidRPr="00DD53CB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[n. (%)].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1066" w:type="dxa"/>
            <w:shd w:val="clear" w:color="auto" w:fill="BFBFBF" w:themeFill="background1" w:themeFillShade="BF"/>
          </w:tcPr>
          <w:p w:rsidR="00600E05" w:rsidRPr="00DD53CB" w:rsidRDefault="00600E05" w:rsidP="00EA7A4E"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en-US"/>
              </w:rPr>
              <w:t>CYP2A6*2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en-US"/>
              </w:rPr>
              <w:t>CYP2A6*B2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en-US"/>
              </w:rPr>
              <w:t>CYP2A6*14</w:t>
            </w:r>
          </w:p>
        </w:tc>
      </w:tr>
      <w:tr w:rsidR="00344CE3" w:rsidTr="00344CE3">
        <w:trPr>
          <w:trHeight w:val="1"/>
        </w:trPr>
        <w:tc>
          <w:tcPr>
            <w:cnfStyle w:val="001000000000"/>
            <w:tcW w:w="1066" w:type="dxa"/>
            <w:shd w:val="clear" w:color="auto" w:fill="BFBFBF" w:themeFill="background1" w:themeFillShade="BF"/>
          </w:tcPr>
          <w:p w:rsidR="00600E05" w:rsidRPr="004D5169" w:rsidRDefault="00600E05" w:rsidP="00EA7A4E"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AA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AA</w:t>
            </w:r>
          </w:p>
        </w:tc>
        <w:tc>
          <w:tcPr>
            <w:tcW w:w="1222" w:type="dxa"/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AG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GG</w:t>
            </w:r>
          </w:p>
        </w:tc>
        <w:tc>
          <w:tcPr>
            <w:tcW w:w="1197" w:type="dxa"/>
            <w:tcBorders>
              <w:lef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CC</w:t>
            </w:r>
          </w:p>
        </w:tc>
        <w:tc>
          <w:tcPr>
            <w:tcW w:w="1072" w:type="dxa"/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CT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1066" w:type="dxa"/>
            <w:shd w:val="clear" w:color="auto" w:fill="BFBFBF" w:themeFill="background1" w:themeFillShade="BF"/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bCs w:val="0"/>
                <w:color w:val="auto"/>
                <w:sz w:val="20"/>
                <w:szCs w:val="20"/>
                <w:lang w:val="en-US"/>
              </w:rPr>
              <w:t>Patients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318 (96,07)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 (3,93)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 (13,29)</w:t>
            </w:r>
          </w:p>
        </w:tc>
        <w:tc>
          <w:tcPr>
            <w:tcW w:w="1222" w:type="dxa"/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286 (86,40)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:rsidR="00600E05" w:rsidRPr="004D5169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51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(0,30)</w:t>
            </w:r>
          </w:p>
        </w:tc>
        <w:tc>
          <w:tcPr>
            <w:tcW w:w="1197" w:type="dxa"/>
            <w:tcBorders>
              <w:left w:val="single" w:sz="4" w:space="0" w:color="auto"/>
            </w:tcBorders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D51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320 (96,</w:t>
            </w: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68)</w:t>
            </w:r>
          </w:p>
        </w:tc>
        <w:tc>
          <w:tcPr>
            <w:tcW w:w="1072" w:type="dxa"/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11 (3,32)</w:t>
            </w:r>
          </w:p>
        </w:tc>
      </w:tr>
      <w:tr w:rsidR="00344CE3" w:rsidTr="00344CE3">
        <w:trPr>
          <w:trHeight w:val="1"/>
        </w:trPr>
        <w:tc>
          <w:tcPr>
            <w:cnfStyle w:val="001000000000"/>
            <w:tcW w:w="1066" w:type="dxa"/>
            <w:shd w:val="clear" w:color="auto" w:fill="BFBFBF" w:themeFill="background1" w:themeFillShade="BF"/>
          </w:tcPr>
          <w:p w:rsidR="00600E05" w:rsidRPr="00DD53CB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53CB">
              <w:rPr>
                <w:rFonts w:ascii="Times New Roman" w:hAnsi="Times New Roman" w:cs="Times New Roman"/>
                <w:bCs w:val="0"/>
                <w:color w:val="auto"/>
                <w:sz w:val="20"/>
                <w:szCs w:val="20"/>
              </w:rPr>
              <w:t>Control</w:t>
            </w:r>
            <w:r w:rsidR="00E5352C" w:rsidRPr="00DD53CB">
              <w:rPr>
                <w:rFonts w:ascii="Times New Roman" w:hAnsi="Times New Roman" w:cs="Times New Roman"/>
                <w:bCs w:val="0"/>
                <w:color w:val="auto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201" w:type="dxa"/>
            <w:tcBorders>
              <w:top w:val="nil"/>
              <w:bottom w:val="single" w:sz="18" w:space="0" w:color="auto"/>
            </w:tcBorders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144 (96,00)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  <w:right w:val="single" w:sz="4" w:space="0" w:color="auto"/>
            </w:tcBorders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6 (4,00)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27 (18,00)</w:t>
            </w:r>
          </w:p>
        </w:tc>
        <w:tc>
          <w:tcPr>
            <w:tcW w:w="1222" w:type="dxa"/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121 (80,67)</w:t>
            </w:r>
          </w:p>
        </w:tc>
        <w:tc>
          <w:tcPr>
            <w:tcW w:w="1046" w:type="dxa"/>
            <w:tcBorders>
              <w:top w:val="nil"/>
              <w:bottom w:val="single" w:sz="18" w:space="0" w:color="auto"/>
              <w:right w:val="single" w:sz="4" w:space="0" w:color="auto"/>
            </w:tcBorders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2 (1,33)</w:t>
            </w:r>
          </w:p>
        </w:tc>
        <w:tc>
          <w:tcPr>
            <w:tcW w:w="1197" w:type="dxa"/>
            <w:tcBorders>
              <w:left w:val="single" w:sz="4" w:space="0" w:color="auto"/>
            </w:tcBorders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146 (97,33)</w:t>
            </w:r>
          </w:p>
        </w:tc>
        <w:tc>
          <w:tcPr>
            <w:tcW w:w="1072" w:type="dxa"/>
          </w:tcPr>
          <w:p w:rsidR="00600E05" w:rsidRPr="00021020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21020">
              <w:rPr>
                <w:rFonts w:ascii="Times New Roman" w:hAnsi="Times New Roman" w:cs="Times New Roman"/>
                <w:sz w:val="20"/>
                <w:szCs w:val="20"/>
              </w:rPr>
              <w:t>4 (2,67)</w:t>
            </w:r>
          </w:p>
        </w:tc>
      </w:tr>
    </w:tbl>
    <w:p w:rsidR="008663AE" w:rsidRPr="00042BDA" w:rsidRDefault="008663AE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7A4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Considering the 8 groups of allelic variants combinations, the frequency in case and control groups are shown in </w:t>
      </w:r>
      <w:r w:rsidRPr="00042BDA">
        <w:rPr>
          <w:rFonts w:ascii="Times New Roman" w:hAnsi="Times New Roman" w:cs="Times New Roman"/>
          <w:i/>
          <w:sz w:val="24"/>
          <w:szCs w:val="24"/>
          <w:lang w:val="en-US"/>
        </w:rPr>
        <w:t>Table 2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  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o statistically significant difference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ere found between these groups, too. Of notice,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AA-AG-CT and AT-AG-CC combinations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(n°3 and n°4 respectively) are most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represented in patients group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(11 v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ersus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control group,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for both combinations), although th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difference has no statistical </w:t>
      </w:r>
      <w:r w:rsidR="00DC6713" w:rsidRPr="00042BDA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Sfondomedio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2265"/>
        <w:gridCol w:w="2265"/>
        <w:gridCol w:w="2280"/>
        <w:gridCol w:w="2265"/>
      </w:tblGrid>
      <w:tr w:rsidR="00344CE3" w:rsidRPr="00EA7A4E" w:rsidTr="00344CE3">
        <w:trPr>
          <w:cnfStyle w:val="100000000000"/>
          <w:trHeight w:val="1"/>
        </w:trPr>
        <w:tc>
          <w:tcPr>
            <w:cnfStyle w:val="001000000000"/>
            <w:tcW w:w="9075" w:type="dxa"/>
            <w:gridSpan w:val="4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600E05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Table </w:t>
            </w:r>
            <w:r w:rsidR="009965E0" w:rsidRPr="00A777B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</w:t>
            </w:r>
            <w:r w:rsidRPr="00A777B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. Allelic variants combinations frequency in the analyzed population.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2265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600E05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Combi</w:t>
            </w:r>
            <w:r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na</w:t>
            </w:r>
            <w:r w:rsidR="006053D4"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tions</w:t>
            </w:r>
            <w:proofErr w:type="spellEnd"/>
          </w:p>
        </w:tc>
        <w:tc>
          <w:tcPr>
            <w:tcW w:w="2265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E05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A777B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Patients</w:t>
            </w:r>
            <w:proofErr w:type="spellEnd"/>
            <w:r w:rsidRPr="00A777B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[n. (%)]</w:t>
            </w:r>
          </w:p>
        </w:tc>
        <w:tc>
          <w:tcPr>
            <w:tcW w:w="228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E05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A777B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Controls</w:t>
            </w:r>
            <w:proofErr w:type="spellEnd"/>
            <w:r w:rsidRPr="00A777B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[n. (%)]</w:t>
            </w:r>
          </w:p>
        </w:tc>
        <w:tc>
          <w:tcPr>
            <w:tcW w:w="2265" w:type="dxa"/>
            <w:tcBorders>
              <w:top w:val="single" w:sz="18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600E05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Total [n. (%)]</w:t>
            </w:r>
          </w:p>
        </w:tc>
      </w:tr>
      <w:tr w:rsidR="00344CE3" w:rsidTr="00344CE3">
        <w:trPr>
          <w:cnfStyle w:val="00000001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 (AA-AG-CC)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264 (79.76)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117 (78.0)</w:t>
            </w:r>
          </w:p>
        </w:tc>
        <w:tc>
          <w:tcPr>
            <w:tcW w:w="2265" w:type="dxa"/>
            <w:tcBorders>
              <w:lef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381 (79.21)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 (AA-AA-CC)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</w:rPr>
              <w:t>42 (12.69)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23 (15.33)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65 (13.51)</w:t>
            </w:r>
          </w:p>
        </w:tc>
      </w:tr>
      <w:tr w:rsidR="00344CE3" w:rsidTr="00344CE3">
        <w:trPr>
          <w:cnfStyle w:val="00000001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3 (AA-AG-CT)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11 (3.32)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 (0.67)</w:t>
            </w:r>
          </w:p>
        </w:tc>
        <w:tc>
          <w:tcPr>
            <w:tcW w:w="2265" w:type="dxa"/>
            <w:tcBorders>
              <w:lef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12 (2.49)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4 (AT-AG-CC)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11</w:t>
            </w:r>
            <w:r w:rsidR="00DC671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(3.32)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 (0.67)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12 (2.49)</w:t>
            </w:r>
          </w:p>
        </w:tc>
      </w:tr>
      <w:tr w:rsidR="00344CE3" w:rsidTr="00344CE3">
        <w:trPr>
          <w:cnfStyle w:val="00000001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5 (AT-AA-CC)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</w:t>
            </w: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(0.6)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3 (2.0)</w:t>
            </w:r>
          </w:p>
        </w:tc>
        <w:tc>
          <w:tcPr>
            <w:tcW w:w="2265" w:type="dxa"/>
            <w:tcBorders>
              <w:lef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5 (1.04)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6 (AA-GG-CC)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 (0.3)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 (1.33)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3 (0.62)</w:t>
            </w:r>
          </w:p>
        </w:tc>
      </w:tr>
      <w:tr w:rsidR="00344CE3" w:rsidTr="00344CE3">
        <w:trPr>
          <w:cnfStyle w:val="000000010000"/>
          <w:trHeight w:val="1"/>
        </w:trPr>
        <w:tc>
          <w:tcPr>
            <w:cnfStyle w:val="001000000000"/>
            <w:tcW w:w="2265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7 (AT-AG-CT)</w:t>
            </w:r>
          </w:p>
        </w:tc>
        <w:tc>
          <w:tcPr>
            <w:tcW w:w="2265" w:type="dxa"/>
            <w:tcBorders>
              <w:left w:val="single" w:sz="18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0 (0)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 (1.33)</w:t>
            </w:r>
          </w:p>
        </w:tc>
        <w:tc>
          <w:tcPr>
            <w:tcW w:w="2265" w:type="dxa"/>
            <w:tcBorders>
              <w:left w:val="single" w:sz="4" w:space="0" w:color="auto"/>
            </w:tcBorders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01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 (0.42)</w:t>
            </w:r>
          </w:p>
        </w:tc>
      </w:tr>
      <w:tr w:rsidR="00344CE3" w:rsidTr="00344CE3">
        <w:trPr>
          <w:cnfStyle w:val="000000100000"/>
          <w:trHeight w:val="1"/>
        </w:trPr>
        <w:tc>
          <w:tcPr>
            <w:cnfStyle w:val="001000000000"/>
            <w:tcW w:w="226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8 (AA-AA-CT)</w:t>
            </w:r>
          </w:p>
        </w:tc>
        <w:tc>
          <w:tcPr>
            <w:tcW w:w="2265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0 (0)</w:t>
            </w:r>
          </w:p>
        </w:tc>
        <w:tc>
          <w:tcPr>
            <w:tcW w:w="228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 (0.67)</w:t>
            </w:r>
          </w:p>
        </w:tc>
        <w:tc>
          <w:tcPr>
            <w:tcW w:w="2265" w:type="dxa"/>
            <w:tcBorders>
              <w:left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A777BD" w:rsidRPr="00A777BD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cnfStyle w:val="00000010000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777B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 (0.21)</w:t>
            </w:r>
          </w:p>
        </w:tc>
      </w:tr>
    </w:tbl>
    <w:p w:rsidR="00600E05" w:rsidRPr="00042BDA" w:rsidRDefault="00600E05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requenc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ies of single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polymorphisms and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polymorphisms combinations related to the presence of clinical features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are shown in Table 3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Considering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single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vs.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multiple aneurysms,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univariate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analysis of the data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either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single polymorphisms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polymorphisms combination did not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significant differences.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Of notice is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all patients carrying the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combination AT-AG-CC (11 patients)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 single aneurysm.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>Regarding clinical presentation with SAH,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univariate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analysis showed no significant differences in the frequencies of single polymorphisms.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Looking at polymorphisms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combinations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>, instead, we found that all patients carrying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AA-AG-CT </w:t>
      </w:r>
      <w:r w:rsidR="009D02DF" w:rsidRPr="00042BDA">
        <w:rPr>
          <w:rFonts w:ascii="Times New Roman" w:hAnsi="Times New Roman" w:cs="Times New Roman"/>
          <w:sz w:val="24"/>
          <w:szCs w:val="24"/>
          <w:lang w:val="en-US"/>
        </w:rPr>
        <w:t>combination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(11 patients) had 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ruptured IA at diagnosis: this data is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at the limit of statistical significance.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subjects with smoking habit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frequency of 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polymorphisms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as well as polymorphisms combinations,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was not significantly different compared to non-smokers</w:t>
      </w:r>
      <w:r w:rsidR="00F8028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our study.</w:t>
      </w:r>
    </w:p>
    <w:tbl>
      <w:tblPr>
        <w:tblStyle w:val="Grigliatabella"/>
        <w:tblW w:w="0" w:type="auto"/>
        <w:tblLook w:val="04A0"/>
      </w:tblPr>
      <w:tblGrid>
        <w:gridCol w:w="1473"/>
        <w:gridCol w:w="583"/>
        <w:gridCol w:w="1324"/>
        <w:gridCol w:w="1209"/>
        <w:gridCol w:w="1324"/>
        <w:gridCol w:w="1209"/>
        <w:gridCol w:w="1209"/>
        <w:gridCol w:w="1324"/>
      </w:tblGrid>
      <w:tr w:rsidR="00344CE3" w:rsidRPr="00EA7A4E" w:rsidTr="005874E1">
        <w:tc>
          <w:tcPr>
            <w:tcW w:w="0" w:type="auto"/>
            <w:gridSpan w:val="8"/>
          </w:tcPr>
          <w:p w:rsidR="005874E1" w:rsidRPr="009A6DE5" w:rsidRDefault="00C51E64" w:rsidP="00EA7A4E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Table 3. Single polymorphisms and combinations frequencies among patients divided for clinical features</w:t>
            </w:r>
            <w:r w:rsidR="009A6DE5" w:rsidRPr="009A6DE5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[n. (%)]</w:t>
            </w:r>
            <w:r w:rsidRPr="009A6DE5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.</w:t>
            </w:r>
          </w:p>
        </w:tc>
      </w:tr>
      <w:tr w:rsidR="00344CE3" w:rsidTr="003F140A">
        <w:tc>
          <w:tcPr>
            <w:tcW w:w="0" w:type="auto"/>
            <w:gridSpan w:val="2"/>
          </w:tcPr>
          <w:p w:rsidR="009A6DE5" w:rsidRPr="009A6DE5" w:rsidRDefault="009A6DE5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shd w:val="clear" w:color="auto" w:fill="BFBFBF" w:themeFill="background1" w:themeFillShade="BF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Multiple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shd w:val="clear" w:color="auto" w:fill="BFBFBF" w:themeFill="background1" w:themeFillShade="BF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SAH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shd w:val="clear" w:color="auto" w:fill="BFBFBF" w:themeFill="background1" w:themeFillShade="BF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 SAH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shd w:val="clear" w:color="auto" w:fill="BFBFBF" w:themeFill="background1" w:themeFillShade="BF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Smoke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 smoke</w:t>
            </w:r>
          </w:p>
        </w:tc>
      </w:tr>
      <w:tr w:rsidR="00344CE3" w:rsidTr="003F140A">
        <w:tc>
          <w:tcPr>
            <w:tcW w:w="0" w:type="auto"/>
            <w:vMerge w:val="restart"/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CYP2A6 *2</w:t>
            </w:r>
          </w:p>
        </w:tc>
        <w:tc>
          <w:tcPr>
            <w:tcW w:w="0" w:type="auto"/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AA</w:t>
            </w:r>
          </w:p>
        </w:tc>
        <w:tc>
          <w:tcPr>
            <w:tcW w:w="0" w:type="auto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(95,3)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(96,5)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(94,7)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(98,8)</w:t>
            </w:r>
          </w:p>
        </w:tc>
        <w:tc>
          <w:tcPr>
            <w:tcW w:w="0" w:type="auto"/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(95,1)</w:t>
            </w:r>
          </w:p>
        </w:tc>
      </w:tr>
      <w:tr w:rsidR="00344CE3" w:rsidTr="003F140A">
        <w:tc>
          <w:tcPr>
            <w:tcW w:w="0" w:type="auto"/>
            <w:vMerge/>
            <w:tcBorders>
              <w:bottom w:val="single" w:sz="18" w:space="0" w:color="000000" w:themeColor="text1"/>
            </w:tcBorders>
          </w:tcPr>
          <w:p w:rsidR="009A6DE5" w:rsidRPr="00367A87" w:rsidRDefault="009A6DE5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000000" w:themeColor="text1"/>
            </w:tcBorders>
            <w:shd w:val="clear" w:color="auto" w:fill="BFBFBF" w:themeFill="background1" w:themeFillShade="BF"/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AT</w:t>
            </w:r>
          </w:p>
        </w:tc>
        <w:tc>
          <w:tcPr>
            <w:tcW w:w="0" w:type="auto"/>
            <w:tcBorders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13 (4,7)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(3,5)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(5,3)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 (1,2)</w:t>
            </w:r>
          </w:p>
        </w:tc>
        <w:tc>
          <w:tcPr>
            <w:tcW w:w="0" w:type="auto"/>
            <w:tcBorders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(4,9)</w:t>
            </w:r>
          </w:p>
        </w:tc>
      </w:tr>
      <w:tr w:rsidR="00344CE3" w:rsidTr="003F140A">
        <w:tc>
          <w:tcPr>
            <w:tcW w:w="0" w:type="auto"/>
            <w:vMerge w:val="restart"/>
            <w:tcBorders>
              <w:top w:val="single" w:sz="18" w:space="0" w:color="000000" w:themeColor="text1"/>
            </w:tcBorders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CYP2A6 *B2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AA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(12,6)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(17)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34 (13,3)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(13,2)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(11,9)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(13,8)</w:t>
            </w:r>
          </w:p>
        </w:tc>
      </w:tr>
      <w:tr w:rsidR="00344CE3" w:rsidTr="003F140A">
        <w:tc>
          <w:tcPr>
            <w:tcW w:w="0" w:type="auto"/>
            <w:vMerge/>
          </w:tcPr>
          <w:p w:rsidR="009A6DE5" w:rsidRPr="00367A87" w:rsidRDefault="009A6DE5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AG</w:t>
            </w:r>
          </w:p>
        </w:tc>
        <w:tc>
          <w:tcPr>
            <w:tcW w:w="0" w:type="auto"/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(87)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(83)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(86,3)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(86,8)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(88,1)</w:t>
            </w:r>
          </w:p>
        </w:tc>
        <w:tc>
          <w:tcPr>
            <w:tcW w:w="0" w:type="auto"/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(85,8)</w:t>
            </w:r>
          </w:p>
        </w:tc>
      </w:tr>
      <w:tr w:rsidR="00344CE3" w:rsidTr="003F140A">
        <w:tc>
          <w:tcPr>
            <w:tcW w:w="0" w:type="auto"/>
            <w:vMerge/>
            <w:tcBorders>
              <w:bottom w:val="single" w:sz="18" w:space="0" w:color="000000" w:themeColor="text1"/>
            </w:tcBorders>
          </w:tcPr>
          <w:p w:rsidR="009A6DE5" w:rsidRPr="00367A87" w:rsidRDefault="009A6DE5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000000" w:themeColor="text1"/>
            </w:tcBorders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GG</w:t>
            </w:r>
          </w:p>
        </w:tc>
        <w:tc>
          <w:tcPr>
            <w:tcW w:w="0" w:type="auto"/>
            <w:tcBorders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 (0,4)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 (0,4)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0" w:type="auto"/>
            <w:tcBorders>
              <w:bottom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(0,4)</w:t>
            </w:r>
          </w:p>
        </w:tc>
      </w:tr>
      <w:tr w:rsidR="00344CE3" w:rsidTr="003F140A">
        <w:tc>
          <w:tcPr>
            <w:tcW w:w="0" w:type="auto"/>
            <w:vMerge w:val="restart"/>
            <w:tcBorders>
              <w:top w:val="single" w:sz="18" w:space="0" w:color="000000" w:themeColor="text1"/>
            </w:tcBorders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CYP2A6 *14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  <w:shd w:val="clear" w:color="auto" w:fill="BFBFBF" w:themeFill="background1" w:themeFillShade="BF"/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CC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(96,4)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(98,1)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(95,7)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80 (95,2)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(97,2)</w:t>
            </w:r>
          </w:p>
        </w:tc>
      </w:tr>
      <w:tr w:rsidR="00344CE3" w:rsidTr="003F140A">
        <w:tc>
          <w:tcPr>
            <w:tcW w:w="0" w:type="auto"/>
            <w:vMerge/>
            <w:tcBorders>
              <w:bottom w:val="thinThickSmallGap" w:sz="24" w:space="0" w:color="auto"/>
            </w:tcBorders>
          </w:tcPr>
          <w:p w:rsidR="009A6DE5" w:rsidRPr="00367A87" w:rsidRDefault="009A6DE5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thinThickSmallGap" w:sz="24" w:space="0" w:color="auto"/>
            </w:tcBorders>
          </w:tcPr>
          <w:p w:rsidR="009A6DE5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CT</w:t>
            </w:r>
          </w:p>
        </w:tc>
        <w:tc>
          <w:tcPr>
            <w:tcW w:w="0" w:type="auto"/>
            <w:tcBorders>
              <w:bottom w:val="thinThickSmallGap" w:sz="24" w:space="0" w:color="auto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(3,6)</w:t>
            </w:r>
          </w:p>
        </w:tc>
        <w:tc>
          <w:tcPr>
            <w:tcW w:w="0" w:type="auto"/>
            <w:tcBorders>
              <w:bottom w:val="thinThickSmallGap" w:sz="24" w:space="0" w:color="auto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(1,9)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thinThickSmallGap" w:sz="24" w:space="0" w:color="auto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11 (4,3)</w:t>
            </w:r>
          </w:p>
        </w:tc>
        <w:tc>
          <w:tcPr>
            <w:tcW w:w="0" w:type="auto"/>
            <w:tcBorders>
              <w:bottom w:val="thinThickSmallGap" w:sz="24" w:space="0" w:color="auto"/>
              <w:right w:val="single" w:sz="18" w:space="0" w:color="000000" w:themeColor="text1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thinThickSmallGap" w:sz="24" w:space="0" w:color="auto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4 (4,8)</w:t>
            </w:r>
          </w:p>
        </w:tc>
        <w:tc>
          <w:tcPr>
            <w:tcW w:w="0" w:type="auto"/>
            <w:tcBorders>
              <w:bottom w:val="thinThickSmallGap" w:sz="24" w:space="0" w:color="auto"/>
            </w:tcBorders>
          </w:tcPr>
          <w:p w:rsidR="009A6DE5" w:rsidRPr="009A6DE5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924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6DE5">
              <w:rPr>
                <w:rFonts w:ascii="Times New Roman" w:hAnsi="Times New Roman" w:cs="Times New Roman"/>
                <w:sz w:val="20"/>
                <w:szCs w:val="20"/>
              </w:rPr>
              <w:t>(2,8)</w:t>
            </w:r>
          </w:p>
        </w:tc>
      </w:tr>
      <w:tr w:rsidR="00344CE3" w:rsidTr="003F140A">
        <w:tc>
          <w:tcPr>
            <w:tcW w:w="0" w:type="auto"/>
            <w:gridSpan w:val="2"/>
            <w:shd w:val="clear" w:color="auto" w:fill="BFBFBF" w:themeFill="background1" w:themeFillShade="BF"/>
          </w:tcPr>
          <w:p w:rsidR="00A0253A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1 (AA-AG-CC)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221 (66,77)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43 (13,00)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201 (60,72)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63 (19,03)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69 (20,85)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195 (58,91)</w:t>
            </w:r>
          </w:p>
        </w:tc>
      </w:tr>
      <w:tr w:rsidR="00344CE3" w:rsidTr="003F140A">
        <w:tc>
          <w:tcPr>
            <w:tcW w:w="0" w:type="auto"/>
            <w:gridSpan w:val="2"/>
          </w:tcPr>
          <w:p w:rsidR="00A0253A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2 (AA-AA-CC)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33 (9,97)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9 (2,72)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33 (9,97)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9 (2,72)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10 (3,02)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32 (9,67)</w:t>
            </w:r>
          </w:p>
        </w:tc>
      </w:tr>
      <w:tr w:rsidR="00344CE3" w:rsidTr="003F140A">
        <w:tc>
          <w:tcPr>
            <w:tcW w:w="0" w:type="auto"/>
            <w:gridSpan w:val="2"/>
            <w:shd w:val="clear" w:color="auto" w:fill="BFBFBF" w:themeFill="background1" w:themeFillShade="BF"/>
          </w:tcPr>
          <w:p w:rsidR="00A0253A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3 (AA-AG-CT)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10 (3,02)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11 (3,32)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4 (1,21)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7 (2,11)</w:t>
            </w:r>
          </w:p>
        </w:tc>
      </w:tr>
      <w:tr w:rsidR="00344CE3" w:rsidTr="003F140A">
        <w:tc>
          <w:tcPr>
            <w:tcW w:w="0" w:type="auto"/>
            <w:gridSpan w:val="2"/>
          </w:tcPr>
          <w:p w:rsidR="00A0253A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4 (AT-AG-CC)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11 (3,32)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8 (2,41)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3 (0,9)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10 (3,02)</w:t>
            </w:r>
          </w:p>
        </w:tc>
      </w:tr>
      <w:tr w:rsidR="00344CE3" w:rsidTr="003F140A">
        <w:tc>
          <w:tcPr>
            <w:tcW w:w="0" w:type="auto"/>
            <w:gridSpan w:val="2"/>
            <w:shd w:val="clear" w:color="auto" w:fill="BFBFBF" w:themeFill="background1" w:themeFillShade="BF"/>
          </w:tcPr>
          <w:p w:rsidR="00A0253A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5 (AT-AA-CC)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2 (0,60)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2 (0,60)</w:t>
            </w:r>
          </w:p>
        </w:tc>
      </w:tr>
      <w:tr w:rsidR="00344CE3" w:rsidTr="003F140A">
        <w:tc>
          <w:tcPr>
            <w:tcW w:w="0" w:type="auto"/>
            <w:gridSpan w:val="2"/>
          </w:tcPr>
          <w:p w:rsidR="00A0253A" w:rsidRPr="00367A87" w:rsidRDefault="00C51E64" w:rsidP="00EA7A4E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 xml:space="preserve">6 </w:t>
            </w: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(AA-GG-CC)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0" w:type="auto"/>
          </w:tcPr>
          <w:p w:rsidR="00A0253A" w:rsidRPr="00A0253A" w:rsidRDefault="00C51E64" w:rsidP="00EA7A4E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253A">
              <w:rPr>
                <w:rFonts w:ascii="Times New Roman" w:hAnsi="Times New Roman" w:cs="Times New Roman"/>
                <w:sz w:val="20"/>
                <w:szCs w:val="20"/>
              </w:rPr>
              <w:t>1 (0,30)</w:t>
            </w:r>
          </w:p>
        </w:tc>
      </w:tr>
    </w:tbl>
    <w:p w:rsidR="00600E05" w:rsidRPr="00042BDA" w:rsidRDefault="00600E05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strong correlation between smoking </w:t>
      </w:r>
      <w:r w:rsidR="00A0251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habits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and aneurysm rupture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emerges from our data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(Table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82 in </w:t>
      </w:r>
      <w:r w:rsidR="00A0251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84 smoker patients with IA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02510" w:rsidRPr="00042BD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965E0" w:rsidRPr="00042B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0.9762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- 95% IC (0.916626, 0.997103); 99% IC (0.894267, 0.998761); Correct IC in ter</w:t>
      </w:r>
      <w:r w:rsidR="00A0251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ms of exact distribution] had SAH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at clinical onset, while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among 247 non-smoking patients </w:t>
      </w:r>
      <w:r w:rsidR="00A0251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with IA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only 173 [</w:t>
      </w:r>
      <w:r w:rsidR="00A02510" w:rsidRPr="00042BD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965E0" w:rsidRPr="00042B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0.7004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- 95% IC (0.639086, 0.756840); 99% CI (0.619900, 0.772984); Correct IC in terms of exact distribution]</w:t>
      </w:r>
      <w:r w:rsidR="00A0251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presented with SAH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3D78" w:rsidRDefault="00C51E64" w:rsidP="00EA7A4E">
      <w:pPr>
        <w:spacing w:line="60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Calibri" w:hAnsi="Calibri" w:cs="Calibri"/>
          <w:noProof/>
          <w:lang w:eastAsia="it-IT"/>
        </w:rPr>
        <w:drawing>
          <wp:inline distT="0" distB="0" distL="0" distR="0">
            <wp:extent cx="5769499" cy="2488759"/>
            <wp:effectExtent l="19050" t="0" r="21701" b="6791"/>
            <wp:docPr id="3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1340"/>
        <w:gridCol w:w="530"/>
        <w:gridCol w:w="1489"/>
        <w:gridCol w:w="1797"/>
        <w:gridCol w:w="1763"/>
        <w:gridCol w:w="2071"/>
      </w:tblGrid>
      <w:tr w:rsidR="00344CE3" w:rsidRPr="00EA7A4E" w:rsidTr="00EA7A4E">
        <w:tc>
          <w:tcPr>
            <w:tcW w:w="0" w:type="auto"/>
            <w:gridSpan w:val="6"/>
            <w:vAlign w:val="center"/>
          </w:tcPr>
          <w:p w:rsidR="00622D8C" w:rsidRPr="00A87A7F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A87A7F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Table 4. Single polymorphisms and combinations correlation with IA rupture and smoking habits [n. (%)].</w:t>
            </w:r>
          </w:p>
        </w:tc>
      </w:tr>
      <w:tr w:rsidR="00344CE3" w:rsidTr="00EA7A4E">
        <w:tc>
          <w:tcPr>
            <w:tcW w:w="0" w:type="auto"/>
            <w:gridSpan w:val="2"/>
            <w:vAlign w:val="center"/>
          </w:tcPr>
          <w:p w:rsidR="00622D8C" w:rsidRPr="009A6DE5" w:rsidRDefault="00622D8C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622D8C" w:rsidRPr="009A6DE5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Smoke + SAH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22D8C" w:rsidRPr="009A6DE5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Smoke + No SAH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22D8C" w:rsidRPr="009A6DE5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 smoke + SAH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622D8C" w:rsidRPr="009A6DE5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6D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smoke + No SAH</w:t>
            </w:r>
          </w:p>
        </w:tc>
      </w:tr>
      <w:tr w:rsidR="00344CE3" w:rsidTr="00EA7A4E">
        <w:tc>
          <w:tcPr>
            <w:tcW w:w="0" w:type="auto"/>
            <w:vMerge w:val="restart"/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CYP2A6 *2</w:t>
            </w:r>
          </w:p>
        </w:tc>
        <w:tc>
          <w:tcPr>
            <w:tcW w:w="0" w:type="auto"/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AA</w:t>
            </w:r>
          </w:p>
        </w:tc>
        <w:tc>
          <w:tcPr>
            <w:tcW w:w="0" w:type="auto"/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81 (97,6)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165 (70,21)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70 (29,79)</w:t>
            </w:r>
          </w:p>
        </w:tc>
      </w:tr>
      <w:tr w:rsidR="00344CE3" w:rsidTr="00EA7A4E">
        <w:tc>
          <w:tcPr>
            <w:tcW w:w="0" w:type="auto"/>
            <w:vMerge/>
            <w:tcBorders>
              <w:bottom w:val="single" w:sz="18" w:space="0" w:color="000000" w:themeColor="text1"/>
            </w:tcBorders>
            <w:vAlign w:val="center"/>
          </w:tcPr>
          <w:p w:rsidR="003C6385" w:rsidRPr="00367A87" w:rsidRDefault="003C6385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AT</w:t>
            </w:r>
          </w:p>
        </w:tc>
        <w:tc>
          <w:tcPr>
            <w:tcW w:w="0" w:type="auto"/>
            <w:tcBorders>
              <w:bottom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 (100)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8 (66,6)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4 (33,3)</w:t>
            </w:r>
          </w:p>
        </w:tc>
      </w:tr>
      <w:tr w:rsidR="00344CE3" w:rsidTr="00EA7A4E">
        <w:tc>
          <w:tcPr>
            <w:tcW w:w="0" w:type="auto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CYP2A6 *B2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AA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315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24 (70,6)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10 (29,4)</w:t>
            </w:r>
          </w:p>
        </w:tc>
      </w:tr>
      <w:tr w:rsidR="00344CE3" w:rsidTr="00EA7A4E">
        <w:tc>
          <w:tcPr>
            <w:tcW w:w="0" w:type="auto"/>
            <w:vMerge/>
            <w:vAlign w:val="center"/>
          </w:tcPr>
          <w:p w:rsidR="003C6385" w:rsidRPr="00367A87" w:rsidRDefault="003C6385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AG</w:t>
            </w:r>
          </w:p>
        </w:tc>
        <w:tc>
          <w:tcPr>
            <w:tcW w:w="0" w:type="auto"/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 w:rsidR="00315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(97,3)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2 (2,7)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148 (69,8)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64 (30,2)</w:t>
            </w:r>
          </w:p>
        </w:tc>
      </w:tr>
      <w:tr w:rsidR="00344CE3" w:rsidTr="00EA7A4E">
        <w:tc>
          <w:tcPr>
            <w:tcW w:w="0" w:type="auto"/>
            <w:vMerge/>
            <w:tcBorders>
              <w:bottom w:val="single" w:sz="18" w:space="0" w:color="000000" w:themeColor="text1"/>
            </w:tcBorders>
            <w:vAlign w:val="center"/>
          </w:tcPr>
          <w:p w:rsidR="003C6385" w:rsidRPr="00367A87" w:rsidRDefault="003C6385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000000" w:themeColor="text1"/>
            </w:tcBorders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GG</w:t>
            </w:r>
          </w:p>
        </w:tc>
        <w:tc>
          <w:tcPr>
            <w:tcW w:w="0" w:type="auto"/>
            <w:tcBorders>
              <w:bottom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 (100)</w:t>
            </w:r>
          </w:p>
        </w:tc>
        <w:tc>
          <w:tcPr>
            <w:tcW w:w="0" w:type="auto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4CE3" w:rsidTr="00EA7A4E">
        <w:tc>
          <w:tcPr>
            <w:tcW w:w="0" w:type="auto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CYP2A6 *14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CC</w:t>
            </w:r>
          </w:p>
        </w:tc>
        <w:tc>
          <w:tcPr>
            <w:tcW w:w="0" w:type="auto"/>
            <w:tcBorders>
              <w:top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78(97,5)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2 (2,5)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166 (69,17)</w:t>
            </w:r>
          </w:p>
        </w:tc>
        <w:tc>
          <w:tcPr>
            <w:tcW w:w="0" w:type="auto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74 (30,83)</w:t>
            </w:r>
          </w:p>
        </w:tc>
      </w:tr>
      <w:tr w:rsidR="00344CE3" w:rsidTr="00EA7A4E">
        <w:tc>
          <w:tcPr>
            <w:tcW w:w="0" w:type="auto"/>
            <w:vMerge/>
            <w:tcBorders>
              <w:bottom w:val="thinThickSmallGap" w:sz="24" w:space="0" w:color="auto"/>
            </w:tcBorders>
            <w:vAlign w:val="center"/>
          </w:tcPr>
          <w:p w:rsidR="003C6385" w:rsidRPr="00367A87" w:rsidRDefault="003C6385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thinThickSmallGap" w:sz="24" w:space="0" w:color="auto"/>
            </w:tcBorders>
            <w:vAlign w:val="center"/>
          </w:tcPr>
          <w:p w:rsidR="003C638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CT</w:t>
            </w:r>
          </w:p>
        </w:tc>
        <w:tc>
          <w:tcPr>
            <w:tcW w:w="0" w:type="auto"/>
            <w:tcBorders>
              <w:bottom w:val="thinThickSmallGap" w:sz="24" w:space="0" w:color="auto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4(100)</w:t>
            </w:r>
          </w:p>
        </w:tc>
        <w:tc>
          <w:tcPr>
            <w:tcW w:w="0" w:type="auto"/>
            <w:tcBorders>
              <w:bottom w:val="thinThickSmallGap" w:sz="24" w:space="0" w:color="auto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  <w:bottom w:val="thinThickSmallGap" w:sz="24" w:space="0" w:color="auto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 (100)</w:t>
            </w:r>
          </w:p>
        </w:tc>
        <w:tc>
          <w:tcPr>
            <w:tcW w:w="0" w:type="auto"/>
            <w:tcBorders>
              <w:bottom w:val="thinThickSmallGap" w:sz="24" w:space="0" w:color="auto"/>
              <w:right w:val="single" w:sz="18" w:space="0" w:color="000000" w:themeColor="text1"/>
            </w:tcBorders>
            <w:vAlign w:val="center"/>
          </w:tcPr>
          <w:p w:rsidR="003C638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4CE3" w:rsidTr="00EA7A4E"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53115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 xml:space="preserve">1 </w:t>
            </w: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(AA-AG-CC)</w:t>
            </w:r>
          </w:p>
        </w:tc>
        <w:tc>
          <w:tcPr>
            <w:tcW w:w="0" w:type="auto"/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67 (97,1)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134 (68,7)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61 (31,3)</w:t>
            </w:r>
          </w:p>
        </w:tc>
      </w:tr>
      <w:tr w:rsidR="00344CE3" w:rsidTr="00EA7A4E">
        <w:tc>
          <w:tcPr>
            <w:tcW w:w="0" w:type="auto"/>
            <w:gridSpan w:val="2"/>
            <w:vAlign w:val="center"/>
          </w:tcPr>
          <w:p w:rsidR="0053115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2 (AA-AA-CC)</w:t>
            </w:r>
          </w:p>
        </w:tc>
        <w:tc>
          <w:tcPr>
            <w:tcW w:w="0" w:type="auto"/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10 (100)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23 (71,9)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9 (28,1)</w:t>
            </w:r>
          </w:p>
        </w:tc>
      </w:tr>
      <w:tr w:rsidR="00344CE3" w:rsidTr="00EA7A4E"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53115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3 (AA-AG-CT)</w:t>
            </w:r>
          </w:p>
        </w:tc>
        <w:tc>
          <w:tcPr>
            <w:tcW w:w="0" w:type="auto"/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4 (100)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 (100)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4CE3" w:rsidTr="00EA7A4E">
        <w:tc>
          <w:tcPr>
            <w:tcW w:w="0" w:type="auto"/>
            <w:gridSpan w:val="2"/>
            <w:vAlign w:val="center"/>
          </w:tcPr>
          <w:p w:rsidR="0053115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4 (AT-AG-CC)</w:t>
            </w:r>
          </w:p>
        </w:tc>
        <w:tc>
          <w:tcPr>
            <w:tcW w:w="0" w:type="auto"/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 (100)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7 (70,0)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3 (30,0)</w:t>
            </w:r>
          </w:p>
        </w:tc>
      </w:tr>
      <w:tr w:rsidR="00344CE3" w:rsidTr="00EA7A4E"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53115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5 (AT-AA-CC)</w:t>
            </w:r>
          </w:p>
        </w:tc>
        <w:tc>
          <w:tcPr>
            <w:tcW w:w="0" w:type="auto"/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 (50,0)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 (50,0)</w:t>
            </w:r>
          </w:p>
        </w:tc>
      </w:tr>
      <w:tr w:rsidR="00344CE3" w:rsidTr="00EA7A4E">
        <w:tc>
          <w:tcPr>
            <w:tcW w:w="0" w:type="auto"/>
            <w:gridSpan w:val="2"/>
            <w:vAlign w:val="center"/>
          </w:tcPr>
          <w:p w:rsidR="00531155" w:rsidRPr="00367A87" w:rsidRDefault="00C51E64" w:rsidP="00EA7A4E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67A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6 (AA-GG-CC)</w:t>
            </w:r>
          </w:p>
        </w:tc>
        <w:tc>
          <w:tcPr>
            <w:tcW w:w="0" w:type="auto"/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1 (100)</w:t>
            </w:r>
          </w:p>
        </w:tc>
        <w:tc>
          <w:tcPr>
            <w:tcW w:w="0" w:type="auto"/>
            <w:tcBorders>
              <w:right w:val="single" w:sz="18" w:space="0" w:color="000000" w:themeColor="text1"/>
            </w:tcBorders>
            <w:vAlign w:val="center"/>
          </w:tcPr>
          <w:p w:rsidR="00531155" w:rsidRPr="00A87A7F" w:rsidRDefault="00C51E64" w:rsidP="00EA7A4E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A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5831C6" w:rsidRPr="00042BDA" w:rsidRDefault="005831C6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15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polymorphisms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frequency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within patients </w:t>
      </w:r>
      <w:r w:rsidR="00D32AED" w:rsidRPr="00042BDA">
        <w:rPr>
          <w:rFonts w:ascii="Times New Roman" w:hAnsi="Times New Roman" w:cs="Times New Roman"/>
          <w:sz w:val="24"/>
          <w:szCs w:val="24"/>
          <w:lang w:val="en-US"/>
        </w:rPr>
        <w:t>related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smoking habits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SAH </w:t>
      </w:r>
      <w:r w:rsidR="00D32AED" w:rsidRPr="00042BDA">
        <w:rPr>
          <w:rFonts w:ascii="Times New Roman" w:hAnsi="Times New Roman" w:cs="Times New Roman"/>
          <w:sz w:val="24"/>
          <w:szCs w:val="24"/>
          <w:lang w:val="en-US"/>
        </w:rPr>
        <w:t>appearance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is shown in </w:t>
      </w:r>
      <w:r w:rsidR="002212EC" w:rsidRPr="00042BDA">
        <w:rPr>
          <w:rFonts w:ascii="Times New Roman" w:hAnsi="Times New Roman" w:cs="Times New Roman"/>
          <w:i/>
          <w:sz w:val="24"/>
          <w:szCs w:val="24"/>
          <w:lang w:val="en-US"/>
        </w:rPr>
        <w:t>Table 4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We found that in patients carrying CYP2A6 *2 AA polymorphism the 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probability of aneurysm rupture was statistically significant if related to smoking habit: in smokers the bleeding cases were 81 out of 83 [p = 0.975904 - 99% IC (0.893049, 0.998746)], while in non-smokers they were 165 out of 235 [p = 0.702128 - 99% IC (0.619556, 0.776294)]. Also in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patients presenting CYP2A6 *B2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AG polymorphism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we found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significant difference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>s in SAH occurring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: in this group smokers have a probability of 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>IA rupture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97.3% [72 of 74 ; p = 0.972973 - 99% IC (0.880677, 0.998593)], while non-smokers of 69.8% [148 out of 212; p = 0.698113 - 99% IC (0.610682, 0.776407)].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Finally, in our study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patients 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CYP2A6 *14 </w:t>
      </w:r>
      <w:r w:rsidR="00C63EF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CC polymorphism were found 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to present with SAH in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78 of 80 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>cases if smokers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[p = 0.975000 - 99% IC (0.889220, 0.998699)], while 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non-smokers only 166 of 240 patients had 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>SAH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[p = 0.691667 - 99% IC (0.609495, 0.766039)].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No significant differences in the probability of bleeding were found for the other polymorphisms analyzed. However,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all patients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our cohort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carrying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CYP2A6 *14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CT polymorphism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had aneu</w:t>
      </w:r>
      <w:r w:rsidR="002B0121" w:rsidRPr="00042BDA">
        <w:rPr>
          <w:rFonts w:ascii="Times New Roman" w:hAnsi="Times New Roman" w:cs="Times New Roman"/>
          <w:sz w:val="24"/>
          <w:szCs w:val="24"/>
          <w:lang w:val="en-US"/>
        </w:rPr>
        <w:t>rysm rupture, regardless of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smoking habit. </w:t>
      </w:r>
    </w:p>
    <w:p w:rsidR="00600E05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xamining the bleeding rate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smokers based on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polymorphisms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(Table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we detected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 significant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only in the group of patients presenting the AA-AG-CC combination. In this group, in fact, we found 67 cases of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SAH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69 smokers [p = 0.971014 - 95% IC (0.899185, 0.996470); 99% IC (0.872483, 0.998490)], compared to 134 cases of bleeding on 195 non-smok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patients [p = 0.687179 - 95% IC (0.617047, 0.751515); 99% IC (0.595223, 0.769748)].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nalyzing patients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carrying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polymorphisms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combinations diff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erent from AA-AG-CC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no significant differences in bleeding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occurrence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were found based on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smoking habit: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on 52 patients with genetic combinations different from AA- AG-CC and non-smokers, 39 had a history of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SAH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[p = 0.750000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- 95% CI (0.610536, 0.859651], while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all the patients (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15 subjects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with non-AA-AG-CC combination and smokers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had  IA rupture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[p = 1.000000 - 95% IC (0.818964, 1.000000)].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As previously described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only group in which 100% of bleeding cases occur, regardless of the smoking factor, is the one presenting the AA-AG-CT </w:t>
      </w:r>
      <w:r w:rsidR="007D21BD" w:rsidRPr="00042BDA">
        <w:rPr>
          <w:rFonts w:ascii="Times New Roman" w:hAnsi="Times New Roman" w:cs="Times New Roman"/>
          <w:sz w:val="24"/>
          <w:szCs w:val="24"/>
          <w:lang w:val="en-US"/>
        </w:rPr>
        <w:t>polymorphisms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combination.</w:t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931"/>
        <w:gridCol w:w="1296"/>
        <w:gridCol w:w="1296"/>
        <w:gridCol w:w="1296"/>
        <w:gridCol w:w="3182"/>
      </w:tblGrid>
      <w:tr w:rsidR="00344CE3" w:rsidRPr="00EA7A4E" w:rsidTr="002B4861">
        <w:trPr>
          <w:trHeight w:val="1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22EBA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2B4861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>Tab</w:t>
            </w:r>
            <w:r w:rsidR="002B4861" w:rsidRPr="002B4861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  <w:lang w:val="en-US"/>
              </w:rPr>
              <w:t xml:space="preserve">le 5- 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χ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perscript"/>
                <w:lang w:val="en-US"/>
              </w:rPr>
              <w:t>2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test for variables 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“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bleeding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” 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“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smoking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” 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in 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AA-AG-CC</w:t>
            </w:r>
            <w:r w:rsidR="002B4861"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polymorphisms combination group</w:t>
            </w:r>
            <w:r w:rsidRPr="002B486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</w:tr>
      <w:tr w:rsidR="00344CE3" w:rsidTr="002B4861">
        <w:trPr>
          <w:trHeight w:val="1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2B4861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 </w:t>
            </w:r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SAH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SAH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Tot.</w:t>
            </w:r>
          </w:p>
        </w:tc>
        <w:tc>
          <w:tcPr>
            <w:tcW w:w="31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2B4861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4CE3" w:rsidTr="002B4861">
        <w:trPr>
          <w:trHeight w:val="1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 </w:t>
            </w:r>
            <w:proofErr w:type="spellStart"/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smoke</w:t>
            </w:r>
            <w:proofErr w:type="spellEnd"/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31,28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46,53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68,72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148,47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100,00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2B4861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4CE3" w:rsidTr="002B4861">
        <w:trPr>
          <w:trHeight w:val="1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Smoke</w:t>
            </w:r>
            <w:proofErr w:type="spellEnd"/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2,90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16,47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97,10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52,53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100,00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4861">
              <w:rPr>
                <w:rFonts w:ascii="Times New Roman" w:hAnsi="Times New Roman" w:cs="Times New Roman"/>
                <w:i/>
                <w:sz w:val="20"/>
                <w:szCs w:val="20"/>
              </w:rPr>
              <w:t>Pearson</w:t>
            </w:r>
            <w:proofErr w:type="spellEnd"/>
            <w:r w:rsidRPr="002B486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22,599</w:t>
            </w:r>
          </w:p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DF = 1;  </w:t>
            </w:r>
            <w:proofErr w:type="spellStart"/>
            <w:r w:rsidRPr="002B4861">
              <w:rPr>
                <w:rFonts w:ascii="Times New Roman" w:hAnsi="Times New Roman" w:cs="Times New Roman"/>
                <w:i/>
                <w:sz w:val="20"/>
                <w:szCs w:val="20"/>
              </w:rPr>
              <w:t>P-value</w:t>
            </w:r>
            <w:proofErr w:type="spellEnd"/>
            <w:r w:rsidRPr="002B486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0,000</w:t>
            </w:r>
          </w:p>
        </w:tc>
      </w:tr>
      <w:tr w:rsidR="00344CE3" w:rsidRPr="00EA7A4E" w:rsidTr="002B4861">
        <w:trPr>
          <w:trHeight w:val="1"/>
        </w:trPr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Tot.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23,86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76,14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861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  <w:p w:rsidR="002B4861" w:rsidRPr="002B4861" w:rsidRDefault="00F858DA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51E64" w:rsidRPr="002B4861">
              <w:rPr>
                <w:rFonts w:ascii="Times New Roman" w:hAnsi="Times New Roman" w:cs="Times New Roman"/>
                <w:sz w:val="20"/>
                <w:szCs w:val="20"/>
              </w:rPr>
              <w:t>100,00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486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Likelihood Ratio = 29,710</w:t>
            </w:r>
          </w:p>
          <w:p w:rsidR="002B4861" w:rsidRPr="002B4861" w:rsidRDefault="00C51E64" w:rsidP="00F858DA">
            <w:pPr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486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DF = 1; P-value = 0,000</w:t>
            </w:r>
          </w:p>
        </w:tc>
      </w:tr>
    </w:tbl>
    <w:p w:rsidR="00742A24" w:rsidRDefault="00742A2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DISCUSSION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primary aim of </w:t>
      </w:r>
      <w:r w:rsidR="00342738" w:rsidRPr="00042BDA">
        <w:rPr>
          <w:rFonts w:ascii="Times New Roman" w:hAnsi="Times New Roman" w:cs="Times New Roman"/>
          <w:sz w:val="24"/>
          <w:szCs w:val="24"/>
          <w:lang w:val="en-US"/>
        </w:rPr>
        <w:t>our study wa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342738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to find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="007F1E1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polymorphisms of the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CYP2A6 gene, </w:t>
      </w:r>
      <w:r w:rsidR="007F1E1E" w:rsidRPr="00042BDA">
        <w:rPr>
          <w:rFonts w:ascii="Times New Roman" w:hAnsi="Times New Roman" w:cs="Times New Roman"/>
          <w:sz w:val="24"/>
          <w:szCs w:val="24"/>
          <w:lang w:val="en-US"/>
        </w:rPr>
        <w:t>involved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nicotine metabolism,</w:t>
      </w:r>
      <w:r w:rsidR="007F1E1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738" w:rsidRPr="00042BDA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7F1E1E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related to intracranial aneurysms formation and evolution toward rupture in the presence 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smoking habit</w:t>
      </w:r>
      <w:r w:rsidR="007F1E1E"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frequency of gene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polymo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rphisms within the whole population enrolled in our study is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line with the results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published in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literature </w:t>
      </w:r>
      <w:r w:rsidR="00801D4F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801D4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(Http: //www.ncbi.nlm.nih.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/ SNP /).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We found 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differences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in single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polymorphisms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polymorphisms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freque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ncy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between the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patients and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healthy controls. </w:t>
      </w:r>
      <w:r w:rsidR="005D6A1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our series, we noticed that AA-AG-CT and AT-AG-CC combinations, although rare, are more represented in patients group than in control </w:t>
      </w:r>
      <w:r w:rsidR="005D6A1A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group.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Therefore, we</w:t>
      </w:r>
      <w:r w:rsidR="005D6A1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suggest that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CYP2A6 genetic pattern alone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, limited to the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examined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polymorphisms, does not affect the formation 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intracranial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aneurysms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according to our series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6A1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Since the CYP2A6 gene is mainly responsible for nicotine metabolism, there may be no direct association between its polymorphisms and the development of  IA independently of smoking factor.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Since no </w:t>
      </w:r>
      <w:r w:rsidR="00CA2C2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studies</w:t>
      </w:r>
      <w:r w:rsidR="00CA2C2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about this relationship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r w:rsidR="00CA2C2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the current literature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A2C2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further investigation </w:t>
      </w:r>
      <w:r w:rsidR="005D6A1A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expanding patients' series </w:t>
      </w:r>
      <w:r w:rsidR="00CA2C2B" w:rsidRPr="00042BDA">
        <w:rPr>
          <w:rFonts w:ascii="Times New Roman" w:hAnsi="Times New Roman" w:cs="Times New Roman"/>
          <w:sz w:val="24"/>
          <w:szCs w:val="24"/>
          <w:lang w:val="en-US"/>
        </w:rPr>
        <w:t>is needed to assess this statement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pproximately 16% 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pat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>ients (53 out of 331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carry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multiple aneurysms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thes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 results are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line 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those 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>reported in the literature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for sporadic multiple aneurysms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Pleizier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2002,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Crobeddu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D8F" w:rsidRPr="00042BDA">
        <w:rPr>
          <w:rFonts w:ascii="Times New Roman" w:hAnsi="Times New Roman" w:cs="Times New Roman"/>
          <w:sz w:val="24"/>
          <w:szCs w:val="24"/>
          <w:lang w:val="en-US"/>
        </w:rPr>
        <w:t>et al. 2014, Zhao et al. 2014).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We found that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number 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IA is not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influenced by smoking habit or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analyzed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CYP2A6 genetic pattern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, nor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by the combination of these two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This data is in contrast with some studies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demonstrating how chronic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cigarette smoking appears to be one of the main risk factors for multiple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IA appearance (Ho et al. </w:t>
      </w:r>
      <w:r w:rsidR="00C2640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2015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together with the female sex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Qureshi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</w:t>
      </w:r>
      <w:r w:rsidR="00C2640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1998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age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between 30 and 60 years</w:t>
      </w:r>
      <w:r w:rsidR="00C26407" w:rsidRPr="00042B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Juvela</w:t>
      </w:r>
      <w:proofErr w:type="spellEnd"/>
      <w:r w:rsidR="00C2640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In all these studies smoking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habit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is defined as daily consumption, regardless of the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cigarettes smoked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per day,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="0062104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"non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2104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smoker" have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never smoked in the course of life. </w:t>
      </w:r>
      <w:r w:rsidR="00621047" w:rsidRPr="00042BDA">
        <w:rPr>
          <w:rFonts w:ascii="Times New Roman" w:hAnsi="Times New Roman" w:cs="Times New Roman"/>
          <w:sz w:val="24"/>
          <w:szCs w:val="24"/>
          <w:lang w:val="en-US"/>
        </w:rPr>
        <w:t>The difference between this definition and ours, considering as “non-smokers” also subjects who habitually smoke less than 10 cigarettes per day, could in part explain the differences between our results and the evidence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the literature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77% of subjects with </w:t>
      </w:r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IA had </w:t>
      </w:r>
      <w:proofErr w:type="spellStart"/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>SAH</w:t>
      </w:r>
      <w:proofErr w:type="spellEnd"/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at onset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(255 out of 331</w:t>
      </w:r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>): 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reasonable considering that our subjects have been recruited within a Neurosurgery Department</w:t>
      </w:r>
      <w:r w:rsidR="00D902C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45155" w:rsidRPr="00042B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nivariate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analysis </w:t>
      </w:r>
      <w:r w:rsidR="0074515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showed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no significant differences in the incidence of </w:t>
      </w:r>
      <w:r w:rsidR="0074515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IA rupture based on CYP2A6 single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polymorphisms</w:t>
      </w:r>
      <w:r w:rsidR="002B6732"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nor on </w:t>
      </w:r>
      <w:r w:rsidR="002B6732" w:rsidRPr="00042BDA">
        <w:rPr>
          <w:rFonts w:ascii="Times New Roman" w:hAnsi="Times New Roman" w:cs="Times New Roman"/>
          <w:sz w:val="24"/>
          <w:szCs w:val="24"/>
          <w:lang w:val="en-US"/>
        </w:rPr>
        <w:t>polymorphisms combinations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 However, it is worth noting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frequency of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AA-AG-CT combination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in patients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group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appears to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be higher than in control group, albeit not significantly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oreover, all of these patients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presented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>aSAH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>at onset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, regardless of smoking</w:t>
      </w:r>
      <w:r w:rsidR="00A204B1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habit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data placed at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limit of statistical significance.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This fact relates to the observation that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all subje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cts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carrying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CYP2A6 *14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CT polymorphism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(heterozygous allele) had aneurysm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rupture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regardless of smoking factor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, as previously described in this article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ue to a lack of literature data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regarding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phenotypic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correspondence of CYP2A6 *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14 allele, it is not currently possible to make hypotheses on 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>what could be the enzymatic activity in these subjects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 However, since this association appears to be independent of smoking</w:t>
      </w:r>
      <w:r w:rsidR="001666E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habit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the possibility that alternative metabolic pathways 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re involv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excluded. It would also be possible that this allelic variant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transcription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results in a 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wit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h altered functionality that can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trigger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aneurysm rupture through an unknown mechanism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Further studies are 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, both to clarify the role of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allelic variant and to verify </w:t>
      </w:r>
      <w:r w:rsidR="00051EC7" w:rsidRPr="00042BDA">
        <w:rPr>
          <w:rFonts w:ascii="Times New Roman" w:hAnsi="Times New Roman" w:cs="Times New Roman"/>
          <w:sz w:val="24"/>
          <w:szCs w:val="24"/>
          <w:lang w:val="en-US"/>
        </w:rPr>
        <w:t>the correlation with IA rupture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The incidence of smoking habit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our series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25.4% (84 patients out of 331),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slightly higher compared to that of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general population: according to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2012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WHO data,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cigarette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smoking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revalence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was 19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8% in the Italian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population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≥ 15 years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old,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21% in the world population. Unfortunately, it was not possible to collect data on cigarette smoking in the control group.</w:t>
      </w:r>
      <w:r w:rsidR="00D161AC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univariate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there was no significant correlation between smoking habit and the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single polymorphisms, nor polymorphisms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combinations. 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literature, the correlation between 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CYP2A6 gene polymorphisms and smoking habits has already been studied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Pianezza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1998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47D6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found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carrying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null alleles (CYP2A6 *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2 and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*3)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, both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homozygosis or heterozygosi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was associated with a lower risk of cigarette smoke 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addiction if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compared to the presence of wild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type gene. Numerous studies were subsequently conducted to confirm th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data, with conflicting resul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ts. The main confounders in these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studies are essentially related to the variability in the definition of </w:t>
      </w:r>
      <w:r w:rsidR="004A47D6" w:rsidRPr="00042BDA">
        <w:rPr>
          <w:rFonts w:ascii="Times New Roman" w:hAnsi="Times New Roman" w:cs="Times New Roman"/>
          <w:sz w:val="24"/>
          <w:szCs w:val="24"/>
          <w:lang w:val="en-US"/>
        </w:rPr>
        <w:t>smokers' subgroups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, and to the social determinants that can influence the development of smoking habit</w:t>
      </w:r>
      <w:r w:rsidR="001560A3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s. In 2015 a meta-analysis by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Pan et al. </w:t>
      </w:r>
      <w:r w:rsidR="001560A3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1560A3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confirmed the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CYP2A6 alleles and the number of cigarettes smoked </w:t>
      </w:r>
      <w:r w:rsidR="005B4ED6" w:rsidRPr="00042BDA">
        <w:rPr>
          <w:rFonts w:ascii="Times New Roman" w:hAnsi="Times New Roman" w:cs="Times New Roman"/>
          <w:sz w:val="24"/>
          <w:szCs w:val="24"/>
          <w:lang w:val="en-US"/>
        </w:rPr>
        <w:t>per day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and that individuals with intermediate nicotine metabolism begin the chronic </w:t>
      </w:r>
      <w:r w:rsidR="005B4ED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smoking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habit later than subjects with normal metabolism.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As previously sh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owed in literature (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Juvela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2001,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Krex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2001,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Feigin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 2005,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Korja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 2014,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Backes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2016) </w:t>
      </w:r>
      <w:r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, our data confirm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that smoking habit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risk factor for subarachnoid hemorrhage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event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from aneurysm rupture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>independently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CYP2A6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genetic patter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: in our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82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of 84 smokers patients (97.62%)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had subarachnoid hemorrhage, compared to 173 out of 247 (70.05%) non-smokers. Studies at histological and molecular level 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affirmed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key role of 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vascular wall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chronic i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>nflammation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 the formation and 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>evolution of IA: they found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 greater infiltrate of macrophag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>es and T -cells, augmented levels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pro-inflammatory 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products,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cellular degeneration (endothelial damage, loss of wall cells, apoptosis) and an accumulation of oxidized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lipids compared to the wall of non-ruptured aneurysms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Tulamo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2010,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Frösen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2012)</w:t>
      </w:r>
      <w:r w:rsidR="007E3C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CE0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Cigarette smoke 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is a long known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inducer of 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>vascular inflammation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it contains numerous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substances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nicotine in particular, 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that are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able to increase the expression of pro-inflammatory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molecules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subsequently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induce the expression of endothelial adhesion molecules favoring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chemotaxis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and leukocyte infiltration in the vascular wall by VCAM-1 (Vascular Cell Adhesion Molecule 1), MCP-1 (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Monocyte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Chemotactic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Protein 1) and IL-8 (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Csordas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 . 2013, Norman et al. 2013)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7B76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 Oxidative stress induced by ROS (Reactive Oxygen Species)</w:t>
      </w:r>
      <w:r w:rsidR="008408B3" w:rsidRPr="00042B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deriving directly from cigarette smoke or produced by endothelial cells exposed to smoke, also contributes to the expression of adhesion molecules, the release of pro-inflammatory cytokines and endothelial dysfunction by activatin</w:t>
      </w:r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>g the transcription factor NF-</w:t>
      </w:r>
      <w:proofErr w:type="spellStart"/>
      <w:r w:rsidR="006C7B76" w:rsidRPr="00042BDA">
        <w:rPr>
          <w:rFonts w:ascii="Times New Roman" w:hAnsi="Times New Roman" w:cs="Times New Roman"/>
          <w:sz w:val="24"/>
          <w:szCs w:val="24"/>
          <w:lang w:val="en-US"/>
        </w:rPr>
        <w:t>κ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Furthermore, cigarette smoke, both directly and indirectly through endothelial damage, causes dysfunction in the coagulation system with the appearance of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endoluminal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thrombus at the aneurysm. Finally, the smoke acts by weakening the arterial wall by activating matrix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metalloproteases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(in particular MMP-2 and MMP-9) at the level of smooth muscle cells and endothelial cells, and by inhibiting the synthesis of collagen I and III (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Messner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2014)</w:t>
      </w:r>
      <w:r w:rsidR="008408B3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8B3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9965E0" w:rsidRPr="00042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862BC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ignificant correlations with </w:t>
      </w:r>
      <w:r w:rsidR="00F17A0B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CYP2A6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polymorphisms emerged from the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multivariate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analysis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smoking habits a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nd aneurysm bleeding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or CYP2A6 *B2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AG polymorphism</w:t>
      </w:r>
      <w:r w:rsidR="00F17A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17A0B" w:rsidRPr="00042BDA">
        <w:rPr>
          <w:rFonts w:ascii="Times New Roman" w:hAnsi="Times New Roman" w:cs="Times New Roman"/>
          <w:sz w:val="24"/>
          <w:szCs w:val="24"/>
          <w:lang w:val="en-US"/>
        </w:rPr>
        <w:t>wild</w:t>
      </w:r>
      <w:r w:rsidR="00F17A0B">
        <w:rPr>
          <w:rFonts w:ascii="Times New Roman" w:hAnsi="Times New Roman" w:cs="Times New Roman"/>
          <w:sz w:val="24"/>
          <w:szCs w:val="24"/>
          <w:lang w:val="en-US"/>
        </w:rPr>
        <w:t xml:space="preserve">-type-analogous allele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heteroz</w:t>
      </w:r>
      <w:r w:rsidR="00F17A0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gosity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CYP2A6 *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CC polymorphism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(absent allele) and CYP2A6 *2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AA polymorphism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(no null allele) the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of aneurysm rupture is significantly greater in smokers than in non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smokers.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significant association between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rupture and smoking habit in the subgroup 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>carrying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AA-AG-CC combination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that is also the most represented in patients with IA, can explain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5013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strong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association found global</w:t>
      </w:r>
      <w:r w:rsidR="00150135" w:rsidRPr="00042BDA">
        <w:rPr>
          <w:rFonts w:ascii="Times New Roman" w:hAnsi="Times New Roman" w:cs="Times New Roman"/>
          <w:sz w:val="24"/>
          <w:szCs w:val="24"/>
          <w:lang w:val="en-US"/>
        </w:rPr>
        <w:t>ly between smoking and bleeding. T</w:t>
      </w:r>
      <w:r w:rsidR="00B25E02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his hypothesis is supported by the </w:t>
      </w:r>
      <w:r w:rsidR="00150135" w:rsidRPr="00042BDA">
        <w:rPr>
          <w:rFonts w:ascii="Times New Roman" w:hAnsi="Times New Roman" w:cs="Times New Roman"/>
          <w:sz w:val="24"/>
          <w:szCs w:val="24"/>
          <w:lang w:val="en-US"/>
        </w:rPr>
        <w:lastRenderedPageBreak/>
        <w:t>observation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150135" w:rsidRPr="00042BDA">
        <w:rPr>
          <w:rFonts w:ascii="Times New Roman" w:hAnsi="Times New Roman" w:cs="Times New Roman"/>
          <w:sz w:val="24"/>
          <w:szCs w:val="24"/>
          <w:lang w:val="en-US"/>
        </w:rPr>
        <w:t>the subgroups with other-than-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AA-AG-C</w:t>
      </w:r>
      <w:r w:rsidR="0015013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 combinations have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no significant </w:t>
      </w:r>
      <w:r w:rsidR="0015013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correlation with IA rupture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based on smoking habit.</w:t>
      </w:r>
      <w:r w:rsidR="00862BC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This association between genetic patterns and bleeding risk in smokers could simply be interpreted as a consequence of insufficient sample size. Alternatively,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presence of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AA-AG-CC combination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B356FB">
        <w:rPr>
          <w:rFonts w:ascii="Times New Roman" w:hAnsi="Times New Roman" w:cs="Times New Roman"/>
          <w:sz w:val="24"/>
          <w:szCs w:val="24"/>
          <w:lang w:val="en-US"/>
        </w:rPr>
        <w:t>affect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cigarette smoking</w:t>
      </w:r>
      <w:r w:rsidR="00B356FB">
        <w:rPr>
          <w:rFonts w:ascii="Times New Roman" w:hAnsi="Times New Roman" w:cs="Times New Roman"/>
          <w:sz w:val="24"/>
          <w:szCs w:val="24"/>
          <w:lang w:val="en-US"/>
        </w:rPr>
        <w:t xml:space="preserve"> action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57EA">
        <w:rPr>
          <w:rFonts w:ascii="Times New Roman" w:hAnsi="Times New Roman" w:cs="Times New Roman"/>
          <w:sz w:val="24"/>
          <w:szCs w:val="24"/>
          <w:lang w:val="en-US"/>
        </w:rPr>
        <w:t>According to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CYP2A6 alleles </w:t>
      </w:r>
      <w:r w:rsidR="000657EA">
        <w:rPr>
          <w:rFonts w:ascii="Times New Roman" w:hAnsi="Times New Roman" w:cs="Times New Roman"/>
          <w:sz w:val="24"/>
          <w:szCs w:val="24"/>
          <w:lang w:val="en-US"/>
        </w:rPr>
        <w:t>expressed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the population can be divided into normal (100% enzyme activity), intermediate (50-75%) and slow (0-50%)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metabolizers</w:t>
      </w:r>
      <w:proofErr w:type="spellEnd"/>
      <w:r w:rsidR="00A26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6B28" w:rsidRPr="00A26B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In this case, the absence of the null </w:t>
      </w:r>
      <w:r w:rsidR="0015048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allele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CYP2A6 *2 (AA) and</w:t>
      </w:r>
      <w:r w:rsidR="0015048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CYP2A6 *14 </w:t>
      </w:r>
      <w:r w:rsidR="0015048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allele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(CC), </w:t>
      </w:r>
      <w:r w:rsidR="00150485">
        <w:rPr>
          <w:rFonts w:ascii="Times New Roman" w:hAnsi="Times New Roman" w:cs="Times New Roman"/>
          <w:sz w:val="24"/>
          <w:szCs w:val="24"/>
          <w:lang w:val="en-US"/>
        </w:rPr>
        <w:t>joint to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presence of the CYP2A6 *B2 allele </w:t>
      </w:r>
      <w:r w:rsidR="00150485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150485" w:rsidRPr="00042BDA">
        <w:rPr>
          <w:rFonts w:ascii="Times New Roman" w:hAnsi="Times New Roman" w:cs="Times New Roman"/>
          <w:sz w:val="24"/>
          <w:szCs w:val="24"/>
          <w:lang w:val="en-US"/>
        </w:rPr>
        <w:t>heterozygosity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(AG)</w:t>
      </w:r>
      <w:r w:rsidR="001504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could configure a phenotype with 100% enzymatic activity (rapid </w:t>
      </w:r>
      <w:proofErr w:type="spellStart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metabolizer</w:t>
      </w:r>
      <w:proofErr w:type="spellEnd"/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150485">
        <w:rPr>
          <w:rFonts w:ascii="Times New Roman" w:hAnsi="Times New Roman" w:cs="Times New Roman"/>
          <w:sz w:val="24"/>
          <w:szCs w:val="24"/>
          <w:lang w:val="en-US"/>
        </w:rPr>
        <w:t xml:space="preserve">The hypothesis is that subjects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with genetic patterns 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>leading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to normal nicotine metabolism have a greater capacity to trigger oxidative processes in the presence of smoking habits</w:t>
      </w:r>
      <w:r w:rsidR="002F400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2F400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compared to 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 xml:space="preserve">subjects </w:t>
      </w:r>
      <w:r w:rsidR="002F400B" w:rsidRPr="00042BDA">
        <w:rPr>
          <w:rFonts w:ascii="Times New Roman" w:hAnsi="Times New Roman" w:cs="Times New Roman"/>
          <w:sz w:val="24"/>
          <w:szCs w:val="24"/>
          <w:lang w:val="en-US"/>
        </w:rPr>
        <w:t>with decrease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>d enzymatic</w:t>
      </w:r>
      <w:r w:rsidR="002F400B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activity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his would lead to greater production of 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>ROS (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reactive oxygen</w:t>
      </w:r>
      <w:r w:rsidR="002F400B" w:rsidRPr="002F4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00B" w:rsidRPr="00042BDA">
        <w:rPr>
          <w:rFonts w:ascii="Times New Roman" w:hAnsi="Times New Roman" w:cs="Times New Roman"/>
          <w:sz w:val="24"/>
          <w:szCs w:val="24"/>
          <w:lang w:val="en-US"/>
        </w:rPr>
        <w:t>species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, which triggers the chronic inflam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>matory processes underlying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aneurysms</w:t>
      </w:r>
      <w:r w:rsidR="002F4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00B" w:rsidRPr="00042BDA">
        <w:rPr>
          <w:rFonts w:ascii="Times New Roman" w:hAnsi="Times New Roman" w:cs="Times New Roman"/>
          <w:sz w:val="24"/>
          <w:szCs w:val="24"/>
          <w:lang w:val="en-US"/>
        </w:rPr>
        <w:t>rupture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An alternative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 xml:space="preserve">but parallel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explanation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tart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from the observations of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Pianezza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et al. 1998 </w:t>
      </w:r>
      <w:r w:rsidR="00A26B28" w:rsidRPr="00A26B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according to which a genetic pattern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 xml:space="preserve">producing a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normal enzymatic activity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>is associated with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an increased risk of addiction to c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igarette smoke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compared to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 xml:space="preserve"> subjects carrying null alleles. In the first case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there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increased nicotine intake with a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>subsequent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increase in damage from cigarette smoke </w:t>
      </w:r>
      <w:r w:rsidR="00A26B28">
        <w:rPr>
          <w:rFonts w:ascii="Times New Roman" w:hAnsi="Times New Roman" w:cs="Times New Roman"/>
          <w:sz w:val="24"/>
          <w:szCs w:val="24"/>
          <w:lang w:val="en-US"/>
        </w:rPr>
        <w:t>that is dose-dependent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Following this </w:t>
      </w:r>
      <w:r w:rsidR="00F8424D">
        <w:rPr>
          <w:rFonts w:ascii="Times New Roman" w:hAnsi="Times New Roman" w:cs="Times New Roman"/>
          <w:sz w:val="24"/>
          <w:szCs w:val="24"/>
          <w:lang w:val="en-US"/>
        </w:rPr>
        <w:t>hypothesis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, some </w:t>
      </w:r>
      <w:r w:rsidR="00F8424D">
        <w:rPr>
          <w:rFonts w:ascii="Times New Roman" w:hAnsi="Times New Roman" w:cs="Times New Roman"/>
          <w:sz w:val="24"/>
          <w:szCs w:val="24"/>
          <w:lang w:val="en-US"/>
        </w:rPr>
        <w:t>studies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tried to </w:t>
      </w:r>
      <w:r w:rsidR="00F8424D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an association between </w:t>
      </w:r>
      <w:r w:rsidR="00F8424D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CYP2A6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allelic variants and the risk of developing smoke-r</w:t>
      </w:r>
      <w:r w:rsidR="00F8424D">
        <w:rPr>
          <w:rFonts w:ascii="Times New Roman" w:hAnsi="Times New Roman" w:cs="Times New Roman"/>
          <w:sz w:val="24"/>
          <w:szCs w:val="24"/>
          <w:lang w:val="en-US"/>
        </w:rPr>
        <w:t xml:space="preserve">elated tumors: a meta-analysis 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Liu et al. </w:t>
      </w:r>
      <w:r w:rsidR="00F842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2013) </w:t>
      </w:r>
      <w:r w:rsidR="00F8424D" w:rsidRPr="00F842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</w:t>
      </w:r>
      <w:r w:rsidR="00F84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>showed that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risk of developing lung carcinoma 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reduced in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 xml:space="preserve"> subjects with 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lastRenderedPageBreak/>
        <w:t>smoking habits carrying a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null allel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homozygosity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042BDA">
        <w:rPr>
          <w:rFonts w:ascii="Times New Roman" w:hAnsi="Times New Roman" w:cs="Times New Roman"/>
          <w:sz w:val="24"/>
          <w:szCs w:val="24"/>
          <w:lang w:val="en-US"/>
        </w:rPr>
        <w:t>heterozygosity</w:t>
      </w:r>
      <w:proofErr w:type="spellEnd"/>
      <w:r w:rsidRPr="00042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>, if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compared to wild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type gene carriers.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The results </w:t>
      </w:r>
      <w:r w:rsidR="00B74D2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our study seem to be partially in line with this hypothes</w:t>
      </w:r>
      <w:r w:rsidR="005E54E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s. However, </w:t>
      </w:r>
      <w:r w:rsidR="005E54EC">
        <w:rPr>
          <w:rFonts w:ascii="Times New Roman" w:hAnsi="Times New Roman" w:cs="Times New Roman"/>
          <w:sz w:val="24"/>
          <w:szCs w:val="24"/>
          <w:lang w:val="en-US"/>
        </w:rPr>
        <w:t xml:space="preserve">we found polymorphisms combinations corresponding to a fully active enzyme even in patients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roup not significantly associated with aneurysm rupture, </w:t>
      </w:r>
      <w:r w:rsidR="005E54EC">
        <w:rPr>
          <w:rFonts w:ascii="Times New Roman" w:hAnsi="Times New Roman" w:cs="Times New Roman"/>
          <w:sz w:val="24"/>
          <w:szCs w:val="24"/>
          <w:lang w:val="en-US"/>
        </w:rPr>
        <w:t xml:space="preserve">and this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contrast</w:t>
      </w:r>
      <w:r w:rsidR="009C6E46">
        <w:rPr>
          <w:rFonts w:ascii="Times New Roman" w:hAnsi="Times New Roman" w:cs="Times New Roman"/>
          <w:sz w:val="24"/>
          <w:szCs w:val="24"/>
          <w:lang w:val="en-US"/>
        </w:rPr>
        <w:t xml:space="preserve"> with that hypothesis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C6E46">
        <w:rPr>
          <w:rFonts w:ascii="Times New Roman" w:hAnsi="Times New Roman" w:cs="Times New Roman"/>
          <w:sz w:val="24"/>
          <w:szCs w:val="24"/>
          <w:lang w:val="en-US"/>
        </w:rPr>
        <w:t xml:space="preserve">Moreover,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our analysis </w:t>
      </w:r>
      <w:r w:rsidR="009C6E46">
        <w:rPr>
          <w:rFonts w:ascii="Times New Roman" w:hAnsi="Times New Roman" w:cs="Times New Roman"/>
          <w:sz w:val="24"/>
          <w:szCs w:val="24"/>
          <w:lang w:val="en-US"/>
        </w:rPr>
        <w:t>focus only on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three </w:t>
      </w:r>
      <w:r w:rsidR="009C6E46">
        <w:rPr>
          <w:rFonts w:ascii="Times New Roman" w:hAnsi="Times New Roman" w:cs="Times New Roman"/>
          <w:sz w:val="24"/>
          <w:szCs w:val="24"/>
          <w:lang w:val="en-US"/>
        </w:rPr>
        <w:t xml:space="preserve">CYP2A6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polymorphisms</w:t>
      </w:r>
      <w:r w:rsidR="009C6E46">
        <w:rPr>
          <w:rFonts w:ascii="Times New Roman" w:hAnsi="Times New Roman" w:cs="Times New Roman"/>
          <w:sz w:val="24"/>
          <w:szCs w:val="24"/>
          <w:lang w:val="en-US"/>
        </w:rPr>
        <w:t>, but we don’t test the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presence of </w:t>
      </w:r>
      <w:r w:rsidR="009C6E46">
        <w:rPr>
          <w:rFonts w:ascii="Times New Roman" w:hAnsi="Times New Roman" w:cs="Times New Roman"/>
          <w:sz w:val="24"/>
          <w:szCs w:val="24"/>
          <w:lang w:val="en-US"/>
        </w:rPr>
        <w:t>other polymorphisms that can determine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different phenotypic </w:t>
      </w:r>
      <w:r w:rsidRPr="00042BDA">
        <w:rPr>
          <w:rFonts w:ascii="Times New Roman" w:hAnsi="Times New Roman" w:cs="Times New Roman"/>
          <w:sz w:val="24"/>
          <w:szCs w:val="24"/>
          <w:lang w:val="en-US"/>
        </w:rPr>
        <w:t>characteristics.</w:t>
      </w:r>
    </w:p>
    <w:p w:rsidR="00A23C3B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he main limitation of </w:t>
      </w:r>
      <w:r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study is the lack of statistical power, although the </w:t>
      </w:r>
      <w:r w:rsidRPr="009C6E46">
        <w:rPr>
          <w:rFonts w:ascii="Times New Roman" w:hAnsi="Times New Roman" w:cs="Times New Roman"/>
          <w:sz w:val="24"/>
          <w:szCs w:val="24"/>
          <w:lang w:val="en-US"/>
        </w:rPr>
        <w:t xml:space="preserve">conspicuous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sample size considering the low incidence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in the general population.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suggest that the 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>study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be repeated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on a larger sample, obtainable only through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multicentre 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more accurate analysis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could be 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 xml:space="preserve">obtained with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 more detailed stratification of the smoking habit, 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 xml:space="preserve">also taking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exposure to passive smoking, the age 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>at which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subjects start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exposure, and previous smoking habits (ex- smoking</w:t>
      </w:r>
      <w:r w:rsidR="00191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29C" w:rsidRPr="00042BDA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:rsidR="00C03DCE" w:rsidRPr="00042BDA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mechanisms that determine the 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evolution of IA toward rupture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are not yet fully understood. Cigarette smoking is one of the risk factors that contribute in many ways to vascular damage, a fundamental point in the pathogenesis of the disease. The evidence of a greater predisposition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rupture in subje</w:t>
      </w:r>
      <w:r>
        <w:rPr>
          <w:rFonts w:ascii="Times New Roman" w:hAnsi="Times New Roman" w:cs="Times New Roman"/>
          <w:sz w:val="24"/>
          <w:szCs w:val="24"/>
          <w:lang w:val="en-US"/>
        </w:rPr>
        <w:t>cts with a close relative with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a history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SAH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suggests, even in so-called sporadic aneurysms, the possibility of genetic determinants involved in the development and evolution of the disease. In this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developed our study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, 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ing for an explanation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that can unify the numerous pieces that the international scientific community has gathered so far.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all cases, ab</w:t>
      </w:r>
      <w:r>
        <w:rPr>
          <w:rFonts w:ascii="Times New Roman" w:hAnsi="Times New Roman" w:cs="Times New Roman"/>
          <w:sz w:val="24"/>
          <w:szCs w:val="24"/>
          <w:lang w:val="en-US"/>
        </w:rPr>
        <w:t>stinence from cigarette smoking has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to be recommended to all patients presenting with an unbroken </w:t>
      </w:r>
      <w:r>
        <w:rPr>
          <w:rFonts w:ascii="Times New Roman" w:hAnsi="Times New Roman" w:cs="Times New Roman"/>
          <w:sz w:val="24"/>
          <w:szCs w:val="24"/>
          <w:lang w:val="en-US"/>
        </w:rPr>
        <w:t>intra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cranial aneurysm, given the strong association between this voluptuous habit and </w:t>
      </w:r>
      <w:r>
        <w:rPr>
          <w:rFonts w:ascii="Times New Roman" w:hAnsi="Times New Roman" w:cs="Times New Roman"/>
          <w:sz w:val="24"/>
          <w:szCs w:val="24"/>
          <w:lang w:val="en-US"/>
        </w:rPr>
        <w:t>SAH event.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 The possible presence of a genetic predisposition could, in the future, provide the basis for modeling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therapeutic approach in the single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 xml:space="preserve">patient. Further studies are needed to examine the hypothesis that certain genetic patterns of CYP2A6 may affect the evolution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IA </w:t>
      </w:r>
      <w:r w:rsidR="009965E0" w:rsidRPr="00042BDA">
        <w:rPr>
          <w:rFonts w:ascii="Times New Roman" w:hAnsi="Times New Roman" w:cs="Times New Roman"/>
          <w:sz w:val="24"/>
          <w:szCs w:val="24"/>
          <w:lang w:val="en-US"/>
        </w:rPr>
        <w:t>towards rupture.</w:t>
      </w:r>
    </w:p>
    <w:p w:rsidR="00C03DCE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2BDA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V.S.,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Sofa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R.,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Houlden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Werring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D.J., “Genetic risk factors for intracranial aneurysms: a meta-analysis in more than 116.000 individuals”. Neurology, 2013 (80: 2154-65).</w:t>
      </w:r>
    </w:p>
    <w:p w:rsid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Backes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Rinkel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G.J.,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Laban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K.G.,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Algra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Vergouwen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M.D., “Patient- and Aneurysm-Specif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ic Risk Factors for Intracranial Aneurysm Growth: Systematic Review and Meta-Analysis”. Stroke, 2016 (STROKEAHA.115.012162).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Benowitz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N.L., Jacob III P., “Individual differences in nicotine kinetics and metabolism in human”. NIDA Res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Monogr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1997 (173: 48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-64).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Benowitz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N.L., Jacob P.I., Fong I., et al., “Nicotine metabolic profile in man: comparison of cigarette smoking and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transdermal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nicotine”. 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Exp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1994a (268: 296-303).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lastRenderedPageBreak/>
        <w:t>Benowitz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N.L., Jacob III P., “Metabolism of nicotine to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cotinine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studied by a dual stable isotope method”.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Clin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1994b (56: 483-93).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Benowitz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N.L., Jacob III P., Jones R.T., Rosenberg J., “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Interindividual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variability in the metabolism and cardiovascular effects of nicotine in man”. 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Exp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1982 (221:368-372).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Cashman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J.R., Park S.B., Yang Z..C,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Wrighton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.S.A, Jacob P.,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Benowitz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N.L., “Metabolism of nicotine by human liver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microsomes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Stereoselective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formation of trans-nicotine N’-oxide”.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Chem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Res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Toxicol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1992 (5: 639-646).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Celermajer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D.S., Sorensen K.E.,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Georgakopoulos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D. et al., “Cigarette smoking is associated with dose-related and potentially reversible impairment of endothelium-dependent dilation of in healthy young adults”. Circulation, 1993 (88: 2149–2155).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14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Crobeddu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Panciani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P.P.,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Garbossa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Pilloni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Fornaro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Ronchetti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Spena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Tartara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F., Ducati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Fontanella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“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Cerebrovascular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diseases in the elderly: the challenge of multiple aneurysms”.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Neurosci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2014 (124 (8): 573-6).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>Crompton M.R., “The pathology o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f ruptured middle cerebral aneurysms with special reference to the differences between the sexes”. Lancet, 1962 (2: 421-25).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Csordas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A., Bernhard D., “The biology behind the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atherothrombotic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effects of cigarette smoke”. Nat Rev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Cardiol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2013 (10:219-230).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Daigo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S., Takahashi Y.,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Fujieda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Ariyoshi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N., Yamazaki H., Koizumi W., Tanabe S.,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Saigenji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Nagayama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S., Ikeda K.,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Nishioka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Kamataki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T., “A novel mutant allele of the CYP2A6 gene (CYP2A6*11) found in a cancer patient who showed poor metabolic p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henotype towards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tegafur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”.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Pharmacogenetics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2002 (12: 299-306).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Feigin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V.L.,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Rinkel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G.J.,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Lawes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C.M.,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Algra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A., Bennett D.A., van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Gijn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J., Anderson C.S., “Risk factors for subarachnoid hemorrhage: an updated systematic review of epidemiological studies”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. Stroke, 2005 (36: 2773–2780).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tabs>
          <w:tab w:val="left" w:pos="570"/>
        </w:tabs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Fernandez-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Salguero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P., Hoffman S. M. 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Cholerton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Mohrenweiser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Raunio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Rautio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Pelkonen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O., Huang J., Evans W. E., Idle J. R., Gonzalez F. J., “A genetic polymorphism in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coumarin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7-hydroxylation: sequence of 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human CYP2A genes and identification of variant CYP2A6 alleles”. Am J Hum Genet, 1995 (57: 651-660).</w:t>
      </w:r>
    </w:p>
    <w:p w:rsidR="00B3601E" w:rsidRPr="00B3601E" w:rsidRDefault="00B3601E" w:rsidP="00EA7A4E">
      <w:pPr>
        <w:tabs>
          <w:tab w:val="left" w:pos="570"/>
        </w:tabs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>Fields W.A., “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Aortao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cranial occlusive vascular disease (stroke)”. Ciba Found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Symp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1974 (26 (4): 3 – 31).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Frösen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J.,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Tulamo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R.,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Paetau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Laaksamo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E.,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Korja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Laakso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Niemelä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Hernesniemi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J., “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Saccular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intracranial aneurysm: pathology and mechanisms”.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Acta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Neuropathol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2012 (123:773-786).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Gu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D. F.,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Hinks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L. J., Morton N. E., Day I.N.M., “The use of long PCR to confirm three common alleles at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CYP2A6 locus and the relationship between genotype and smoking habit”. Ann Hum Genet, 2000 (64: 383-390).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Hanna S.T., “Nicotine effect on cardiovascular system and ion channels”. 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Cardiovasc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Pharmacol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2006 (47: 348-58).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before="240" w:after="12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 A.L., Lin N.,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Frerichs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K.U., Du R., “Smoking and Intracranial Aneurysm Morphology”. Neurosurgery</w:t>
      </w:r>
      <w:r w:rsidRPr="00B3601E">
        <w:rPr>
          <w:rFonts w:ascii="Times New Roman" w:hAnsi="Times New Roman" w:cs="Times New Roman"/>
          <w:color w:val="660066"/>
          <w:sz w:val="24"/>
          <w:szCs w:val="24"/>
          <w:lang w:val="en-US"/>
        </w:rPr>
        <w:t xml:space="preserve">, 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2015 (77 (1): 59-66).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Ho M.K., Tyndale R.F., “Overview of the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pharmacogenomics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of cigarette smoking”.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Pharmacogenomic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J, 2007 (7: 81-98).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Iida M., Iida H.,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Dohi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S. et al., “Mechan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isms underlying cardio-vascular effects of cigarette smoking in rats in vivo”. Stroke, 1998 (29: 1656–1665).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Inoue K., Yamazaki H., Shimada T., “CYP2A6 genetic polymorphisms and liver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microsomal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cumarin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and nicotine oxidation activities in Japanese and Ca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ucasians”. Arch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Toxicol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2000 (73: 532-539).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Juvela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Hillbom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Numminen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Koskinen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P., “Cigarette smoking and alcohol consumption as risk factors for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aneurysmal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subarachnoid hemorrhage”. Stroke, 1993 (24: 639–646).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Juvela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Porras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Poussa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K.,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“Natural history of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unruptured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intracranial aneurysms: probability and risk factors for aneurysm rupture”.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Neurosurg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Focus, 2000 (8: 1–9).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Juvela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Poussa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K.,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Porras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M., “Factors affecting formation and growth of intracranial aneurysms: a long-term fol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low-up study”. Stroke, 2001 (32: 485-91).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Juvela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S., “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Prehemorrhage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risk factors for fatal intracranial aneurysm rupture”. Stroke, 2003 (34: 1852–1857).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before="126" w:after="6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Juvela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S., “Risk factors for multiple intracranial aneurysms”. Stroke, 2000 (31(2): 392-7).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lastRenderedPageBreak/>
        <w:t>Kitawa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K.,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Kumgita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N.,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Katoh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T., Yang M., Kawamoto T., “The significance of the homozygous CYP2A6 deletion on nicotine metabolism: A new genotyping method of CYP2A6 using a single PCR-RFLP.”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Biochem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Biophys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Res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Commun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1999 (262: 146-151).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Korja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Kaprio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J., “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Controversies in epidemiology of intracranial aneurysms and SAH”. Nat Rev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2016 (12(1): 50-5).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Korja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Lehto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Juvela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S., “Lifelong rupture risk of intracranial aneurysms depends on risk factors: a prospective Finnish cohort study”. Stroke, 2014 (45(7):1958-63). 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Krex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D.,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Schackert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Shackert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G., “Genesis of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cerbral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aneurysms—an update”.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Acta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Neurochir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2001 (143: 429–449).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Liu Y.L.,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Xu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Y., Li F., Chen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Guo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S.L., “CYP2A6 deletion polymorphism is associated with decreased susceptibility of lung cancer in Asian smokers: a meta-analysis".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Tumour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Biol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2013 (34(5): 2651-7).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London S. J., Idle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J. R., Daly A. K., Coetzee G. A., “Genetic variation of CYP2A6, smoking, and risk of cancer”. Lancet, 1999 (353: 898-899).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McMorrow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M.J., Foxx R.M., “Nicotine's role in smoking: an analysis of nicotine regulation”.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Psychol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Bull, 1983 (93: 302-327).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>Mess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ina E.S., Tyndale R.F., Sellers E.M., “A major role for CYP2A6 in nicotine C-oxidation by human liver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microsomes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”. 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Exp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1997 (282: 1608-1614).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Messner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B., Bernhard D., “Smoking and cardiovascular disease. Mechanisms of endothelial dysfunc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tion and early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atherogenesis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Arterioscler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Thromb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Vasc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Biol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2014 (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: 10.1161/ atvbaha.113.300156).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Miyamoto M.,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Umetsu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Dosaka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-Akita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Sawamura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Y., Yokota J.,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Kunitoh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Nemoto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N., Sato K.,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Ariyoshi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Kamataki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T., “CYP2A6 gene deletion reduces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susceptibility to lung cancer”.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Biochem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Biophys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Commun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1999 (261: 658-660).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Murphy S.E.,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Jhonson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L.M.,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Pullo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D.A., “Characterization of multiple products of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cytochrome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P450 2A6-catalyzed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cotinine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metabolism”.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Chem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Res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Toxicol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1999 (12: 639-645).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aik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Fofaria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N., Prasad S.,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Sajja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R.K.,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Weksler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Couraud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P.O., Romero I.A.,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Cucullo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L., “Oxidative and pro-inflammatory impact of regular and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denicotinized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cigarettes on blood brain barrier endothelial cells: is smoking reduced or nicotine-free produ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cts really safe?”. BMC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Neurosci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2014 (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doi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: 10.1186/1471-2202-15-51).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Nakajima M., Yamamoto T.,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Numoya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K., Yokoi T. et al., “Characterization of CYP2A6 involved in 3’-idroxylation of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cotinine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in human liver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microsomes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”. 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Pharmacol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Exp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1996a (277: 1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010-1015).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Nakajima M., Yamamoto T.,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Numoya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K., Yokoi T. et al., “Role of human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cytochrome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P450-2A6 in C-oxidation of nicotine”. Drug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Metab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Dispos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1996b (24: 1212-1217).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Norman P.E.,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Curci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J.A., “Understanding the effects of tobacco smoke on the 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pathogenesis of aortic aneurysm”.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Arterioscler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Thromb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Vasc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Biol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2013 (33:1473-1477).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Oscarson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McLellan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 A., Asp V.,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Ledesma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Ruiz M. L. B.,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Sinues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Rautio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Ingelman-Sundberg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“Characterization of a novel CYP2A7/CYP2A6 hybrid allele (CYP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2A6*12) that causes reduced CYP2A6 activity”. Hum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Mutat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2002 (20: 275-283).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Oscarson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McLellan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Gullsten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Yue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Q.-Y., Lang M. A., Bernal M. L.,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Sinues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Hirvonen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Raunio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Pelkonen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Ingelman-Sundberg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“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Characterisation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PCR-bas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ed detection of a CYP2A6 gene deletion found at a high frequency in a Chinese population”. FEBS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1999 (448: 105-110).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Pan L., Yang X., Li S.,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Jia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C., “Association of CYP2A6 gene polymorphisms with cigarette consumption: a meta-analysis”. Drug Alcohol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Depend, 2015 (1 (149): 268-71). 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Pianezza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 L., Sellers E. M., Tyndale R. F., “Nicotine metabolism defect reduces smoking”. Nature, 1998 (393: 750 only).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Qureshi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A.I., Suarez J.I., Parekh P.D., Sung 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Geocadin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Bhardwaj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Tamargo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R.J.,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Ulatowski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J.A., “Risk factors for multiple intracranial aneurysms”.</w:t>
      </w:r>
      <w:r w:rsidR="007821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Neurosurgery, 1998 (43(1): 22-6).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Rubinstein I., Young T.,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Rennerad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S.I. et al., “Cigarette smoke extract attenuates endothelium-dependent arteriolar dilatation in vivo”. Am 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Physiol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1991(261: H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>1913–H1918).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Schievink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W.I., “Genetics and aneurysm formation”.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Neurosurg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Clin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Am, 1998 (9:485-95).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Stehbens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W.E., “Etiology of intracranial berry aneurysms”. 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Neurosurg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1989 (70(6): 823-31).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>Trom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G.,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Weinsheimer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Ronkainen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Kuivaniemi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H., </w:t>
      </w: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“Molecular basis and genetic predisposition to intracranial aneurysm”. Ann Med, 2014 (46: 597-606).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Tulamo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Frösen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Hernesniemi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Niemelä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M., “Inflammatory changes in the aneurysm wall: a review”. J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Neurointerv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Surg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2010 (2:120-130).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Vlak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M.H.,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Algra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A., Brandenburg R.,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Rinkel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G.J., “Prevalence of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unruptured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intracranial aneurysms, with emphasis on sex, age,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comorbidity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country, and time period: a systematic review and meta-analysis”. Lancet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Neurol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2011 (10(7): 626).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>Yamazaki H., Inoue K., Has</w:t>
      </w: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himoto M., Shimada T., “Roles of CYP2A6 and CYP2B6 in nicotine C-oxidation by human liver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microsomes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”. Arch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Toxicol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>, 1999 (72: 65-70).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01E" w:rsidRPr="00B3601E" w:rsidRDefault="00C51E64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Zhang W.,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 w:val="en-US"/>
        </w:rPr>
        <w:t>Edvinsson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 w:val="en-US"/>
        </w:rPr>
        <w:t xml:space="preserve"> L., Lee T.J., “Mechanism of nicotine-induced relaxation in the porcine basilar artery”. </w:t>
      </w:r>
      <w:r w:rsidRPr="00B3601E">
        <w:rPr>
          <w:rFonts w:ascii="Times New Roman" w:hAnsi="Times New Roman" w:cs="Times New Roman"/>
          <w:sz w:val="24"/>
          <w:szCs w:val="24"/>
          <w:lang/>
        </w:rPr>
        <w:t xml:space="preserve">J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/>
        </w:rPr>
        <w:t>Pharmacol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/>
        </w:rPr>
        <w:t>Exp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B3601E">
        <w:rPr>
          <w:rFonts w:ascii="Times New Roman" w:hAnsi="Times New Roman" w:cs="Times New Roman"/>
          <w:sz w:val="24"/>
          <w:szCs w:val="24"/>
          <w:lang/>
        </w:rPr>
        <w:t>Ther</w:t>
      </w:r>
      <w:proofErr w:type="spellEnd"/>
      <w:r w:rsidRPr="00B3601E">
        <w:rPr>
          <w:rFonts w:ascii="Times New Roman" w:hAnsi="Times New Roman" w:cs="Times New Roman"/>
          <w:sz w:val="24"/>
          <w:szCs w:val="24"/>
          <w:lang/>
        </w:rPr>
        <w:t>, 1998 (284: 790–797).</w:t>
      </w:r>
    </w:p>
    <w:p w:rsidR="00B3601E" w:rsidRPr="00B3601E" w:rsidRDefault="00B3601E" w:rsidP="00EA7A4E">
      <w:pPr>
        <w:autoSpaceDE w:val="0"/>
        <w:autoSpaceDN w:val="0"/>
        <w:adjustRightInd w:val="0"/>
        <w:spacing w:after="0" w:line="6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3601E" w:rsidRPr="00B3601E" w:rsidRDefault="00C51E64" w:rsidP="00EA7A4E">
      <w:pPr>
        <w:spacing w:line="6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Zhao L, Zhang L, Zhang X, Li Z,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>Tian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L, Wang YX., “An analysis of 1256 cases of sporadic ruptured cerebral aneurysm in a single Chinese institution”.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/>
        </w:rPr>
        <w:t>PLoS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/>
        </w:rPr>
        <w:t>One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/>
        </w:rPr>
        <w:t>, 2014 (</w:t>
      </w:r>
      <w:proofErr w:type="spellStart"/>
      <w:r w:rsidRPr="00B3601E">
        <w:rPr>
          <w:rFonts w:ascii="Times New Roman" w:hAnsi="Times New Roman" w:cs="Times New Roman"/>
          <w:color w:val="000000"/>
          <w:sz w:val="24"/>
          <w:szCs w:val="24"/>
          <w:lang/>
        </w:rPr>
        <w:t>doi</w:t>
      </w:r>
      <w:proofErr w:type="spellEnd"/>
      <w:r w:rsidRPr="00B3601E">
        <w:rPr>
          <w:rFonts w:ascii="Times New Roman" w:hAnsi="Times New Roman" w:cs="Times New Roman"/>
          <w:color w:val="000000"/>
          <w:sz w:val="24"/>
          <w:szCs w:val="24"/>
          <w:lang/>
        </w:rPr>
        <w:t>: 10.1371/0085668).</w:t>
      </w:r>
    </w:p>
    <w:sectPr w:rsidR="00B3601E" w:rsidRPr="00B3601E" w:rsidSect="009C2BC6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8B3" w:rsidRDefault="000548B3" w:rsidP="000548B3">
      <w:pPr>
        <w:spacing w:after="0" w:line="240" w:lineRule="auto"/>
      </w:pPr>
      <w:r>
        <w:separator/>
      </w:r>
    </w:p>
  </w:endnote>
  <w:endnote w:type="continuationSeparator" w:id="1">
    <w:p w:rsidR="000548B3" w:rsidRDefault="000548B3" w:rsidP="0005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5461"/>
      <w:docPartObj>
        <w:docPartGallery w:val="Page Numbers (Bottom of Page)"/>
        <w:docPartUnique/>
      </w:docPartObj>
    </w:sdtPr>
    <w:sdtContent>
      <w:p w:rsidR="000548B3" w:rsidRDefault="000548B3">
        <w:pPr>
          <w:pStyle w:val="Pidipagina"/>
          <w:jc w:val="center"/>
        </w:pPr>
        <w:fldSimple w:instr=" PAGE   \* MERGEFORMAT ">
          <w:r>
            <w:rPr>
              <w:noProof/>
            </w:rPr>
            <w:t>28</w:t>
          </w:r>
        </w:fldSimple>
      </w:p>
    </w:sdtContent>
  </w:sdt>
  <w:p w:rsidR="000548B3" w:rsidRDefault="000548B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8B3" w:rsidRDefault="000548B3" w:rsidP="000548B3">
      <w:pPr>
        <w:spacing w:after="0" w:line="240" w:lineRule="auto"/>
      </w:pPr>
      <w:r>
        <w:separator/>
      </w:r>
    </w:p>
  </w:footnote>
  <w:footnote w:type="continuationSeparator" w:id="1">
    <w:p w:rsidR="000548B3" w:rsidRDefault="000548B3" w:rsidP="00054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8F8"/>
    <w:multiLevelType w:val="hybridMultilevel"/>
    <w:tmpl w:val="7DC08B88"/>
    <w:lvl w:ilvl="0" w:tplc="B448A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5C87AC" w:tentative="1">
      <w:start w:val="1"/>
      <w:numFmt w:val="lowerLetter"/>
      <w:lvlText w:val="%2."/>
      <w:lvlJc w:val="left"/>
      <w:pPr>
        <w:ind w:left="1440" w:hanging="360"/>
      </w:pPr>
    </w:lvl>
    <w:lvl w:ilvl="2" w:tplc="72582A96" w:tentative="1">
      <w:start w:val="1"/>
      <w:numFmt w:val="lowerRoman"/>
      <w:lvlText w:val="%3."/>
      <w:lvlJc w:val="right"/>
      <w:pPr>
        <w:ind w:left="2160" w:hanging="180"/>
      </w:pPr>
    </w:lvl>
    <w:lvl w:ilvl="3" w:tplc="33DA8610" w:tentative="1">
      <w:start w:val="1"/>
      <w:numFmt w:val="decimal"/>
      <w:lvlText w:val="%4."/>
      <w:lvlJc w:val="left"/>
      <w:pPr>
        <w:ind w:left="2880" w:hanging="360"/>
      </w:pPr>
    </w:lvl>
    <w:lvl w:ilvl="4" w:tplc="B97A2196" w:tentative="1">
      <w:start w:val="1"/>
      <w:numFmt w:val="lowerLetter"/>
      <w:lvlText w:val="%5."/>
      <w:lvlJc w:val="left"/>
      <w:pPr>
        <w:ind w:left="3600" w:hanging="360"/>
      </w:pPr>
    </w:lvl>
    <w:lvl w:ilvl="5" w:tplc="CDEC9322" w:tentative="1">
      <w:start w:val="1"/>
      <w:numFmt w:val="lowerRoman"/>
      <w:lvlText w:val="%6."/>
      <w:lvlJc w:val="right"/>
      <w:pPr>
        <w:ind w:left="4320" w:hanging="180"/>
      </w:pPr>
    </w:lvl>
    <w:lvl w:ilvl="6" w:tplc="E916979E" w:tentative="1">
      <w:start w:val="1"/>
      <w:numFmt w:val="decimal"/>
      <w:lvlText w:val="%7."/>
      <w:lvlJc w:val="left"/>
      <w:pPr>
        <w:ind w:left="5040" w:hanging="360"/>
      </w:pPr>
    </w:lvl>
    <w:lvl w:ilvl="7" w:tplc="09925F24" w:tentative="1">
      <w:start w:val="1"/>
      <w:numFmt w:val="lowerLetter"/>
      <w:lvlText w:val="%8."/>
      <w:lvlJc w:val="left"/>
      <w:pPr>
        <w:ind w:left="5760" w:hanging="360"/>
      </w:pPr>
    </w:lvl>
    <w:lvl w:ilvl="8" w:tplc="678AB3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A0BE4"/>
    <w:multiLevelType w:val="hybridMultilevel"/>
    <w:tmpl w:val="1160EAC8"/>
    <w:lvl w:ilvl="0" w:tplc="A5960A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434AF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62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07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40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742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A0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4F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84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B0BD0"/>
    <w:multiLevelType w:val="hybridMultilevel"/>
    <w:tmpl w:val="AFE6B988"/>
    <w:lvl w:ilvl="0" w:tplc="DAB4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60F3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4E3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4B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8D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EE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C4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67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85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A53F3"/>
    <w:multiLevelType w:val="hybridMultilevel"/>
    <w:tmpl w:val="75A6CEF8"/>
    <w:lvl w:ilvl="0" w:tplc="2272C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D682E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C22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A2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80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2D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4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8F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EE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3DCE"/>
    <w:rsid w:val="00021020"/>
    <w:rsid w:val="000417B7"/>
    <w:rsid w:val="00042BDA"/>
    <w:rsid w:val="00051EC7"/>
    <w:rsid w:val="000548B3"/>
    <w:rsid w:val="0006570C"/>
    <w:rsid w:val="000657EA"/>
    <w:rsid w:val="00087B68"/>
    <w:rsid w:val="000A09D2"/>
    <w:rsid w:val="000E1721"/>
    <w:rsid w:val="00107AD5"/>
    <w:rsid w:val="00120869"/>
    <w:rsid w:val="00132501"/>
    <w:rsid w:val="00132750"/>
    <w:rsid w:val="00140DF8"/>
    <w:rsid w:val="00150135"/>
    <w:rsid w:val="00150485"/>
    <w:rsid w:val="001560A3"/>
    <w:rsid w:val="001666E6"/>
    <w:rsid w:val="001720AB"/>
    <w:rsid w:val="0019129C"/>
    <w:rsid w:val="001A0ECA"/>
    <w:rsid w:val="001A461D"/>
    <w:rsid w:val="001C50F1"/>
    <w:rsid w:val="001C5B14"/>
    <w:rsid w:val="001E3011"/>
    <w:rsid w:val="0020053D"/>
    <w:rsid w:val="002212EC"/>
    <w:rsid w:val="002405AD"/>
    <w:rsid w:val="00255BDE"/>
    <w:rsid w:val="00270C19"/>
    <w:rsid w:val="0029505D"/>
    <w:rsid w:val="00297A57"/>
    <w:rsid w:val="002B0121"/>
    <w:rsid w:val="002B4861"/>
    <w:rsid w:val="002B6732"/>
    <w:rsid w:val="002F400B"/>
    <w:rsid w:val="00315BF4"/>
    <w:rsid w:val="003253FC"/>
    <w:rsid w:val="0033170F"/>
    <w:rsid w:val="00342738"/>
    <w:rsid w:val="00344BB5"/>
    <w:rsid w:val="00344CE3"/>
    <w:rsid w:val="003457A9"/>
    <w:rsid w:val="00355305"/>
    <w:rsid w:val="00364B62"/>
    <w:rsid w:val="00367A87"/>
    <w:rsid w:val="003A1033"/>
    <w:rsid w:val="003A31A2"/>
    <w:rsid w:val="003C6385"/>
    <w:rsid w:val="003D586D"/>
    <w:rsid w:val="003F140A"/>
    <w:rsid w:val="00445FF4"/>
    <w:rsid w:val="00456CDB"/>
    <w:rsid w:val="0047467B"/>
    <w:rsid w:val="00482CA7"/>
    <w:rsid w:val="004A47D6"/>
    <w:rsid w:val="004B23F5"/>
    <w:rsid w:val="004B5A6B"/>
    <w:rsid w:val="004D5169"/>
    <w:rsid w:val="005020A7"/>
    <w:rsid w:val="00515AEF"/>
    <w:rsid w:val="00531155"/>
    <w:rsid w:val="00553FE4"/>
    <w:rsid w:val="00580D6F"/>
    <w:rsid w:val="005824FE"/>
    <w:rsid w:val="005831C6"/>
    <w:rsid w:val="00583354"/>
    <w:rsid w:val="00586F97"/>
    <w:rsid w:val="005874E1"/>
    <w:rsid w:val="00591700"/>
    <w:rsid w:val="00592423"/>
    <w:rsid w:val="005A7C13"/>
    <w:rsid w:val="005B4ED6"/>
    <w:rsid w:val="005C1F8D"/>
    <w:rsid w:val="005D6A1A"/>
    <w:rsid w:val="005E3BF0"/>
    <w:rsid w:val="005E54EC"/>
    <w:rsid w:val="00600E05"/>
    <w:rsid w:val="006053D4"/>
    <w:rsid w:val="00610DE7"/>
    <w:rsid w:val="00620466"/>
    <w:rsid w:val="00621047"/>
    <w:rsid w:val="00622D8C"/>
    <w:rsid w:val="00675771"/>
    <w:rsid w:val="006C7B76"/>
    <w:rsid w:val="006D1ACF"/>
    <w:rsid w:val="006E227C"/>
    <w:rsid w:val="006F0A7A"/>
    <w:rsid w:val="006F6ACE"/>
    <w:rsid w:val="00707484"/>
    <w:rsid w:val="00715AF8"/>
    <w:rsid w:val="00725111"/>
    <w:rsid w:val="00742A24"/>
    <w:rsid w:val="00745155"/>
    <w:rsid w:val="0077158D"/>
    <w:rsid w:val="00782123"/>
    <w:rsid w:val="00790042"/>
    <w:rsid w:val="0079273A"/>
    <w:rsid w:val="00797D9D"/>
    <w:rsid w:val="007B57DE"/>
    <w:rsid w:val="007C25FF"/>
    <w:rsid w:val="007D21BD"/>
    <w:rsid w:val="007E3CE0"/>
    <w:rsid w:val="007E79BF"/>
    <w:rsid w:val="007F1E1E"/>
    <w:rsid w:val="00801D4F"/>
    <w:rsid w:val="008408B3"/>
    <w:rsid w:val="00843D8F"/>
    <w:rsid w:val="00851B9C"/>
    <w:rsid w:val="00862BCB"/>
    <w:rsid w:val="008663AE"/>
    <w:rsid w:val="00874A5F"/>
    <w:rsid w:val="00897CC5"/>
    <w:rsid w:val="009336E5"/>
    <w:rsid w:val="00947013"/>
    <w:rsid w:val="00974371"/>
    <w:rsid w:val="009965E0"/>
    <w:rsid w:val="009A4479"/>
    <w:rsid w:val="009A6DE5"/>
    <w:rsid w:val="009C2BC6"/>
    <w:rsid w:val="009C6E46"/>
    <w:rsid w:val="009D02DF"/>
    <w:rsid w:val="00A02510"/>
    <w:rsid w:val="00A0253A"/>
    <w:rsid w:val="00A07657"/>
    <w:rsid w:val="00A204B1"/>
    <w:rsid w:val="00A23C3B"/>
    <w:rsid w:val="00A26B28"/>
    <w:rsid w:val="00A777BD"/>
    <w:rsid w:val="00A87A7F"/>
    <w:rsid w:val="00AB2FE9"/>
    <w:rsid w:val="00AF25AE"/>
    <w:rsid w:val="00AF2AC2"/>
    <w:rsid w:val="00B01365"/>
    <w:rsid w:val="00B14B9E"/>
    <w:rsid w:val="00B22EBA"/>
    <w:rsid w:val="00B25E02"/>
    <w:rsid w:val="00B356FB"/>
    <w:rsid w:val="00B3601E"/>
    <w:rsid w:val="00B51411"/>
    <w:rsid w:val="00B74D21"/>
    <w:rsid w:val="00B827BB"/>
    <w:rsid w:val="00B92480"/>
    <w:rsid w:val="00BA687C"/>
    <w:rsid w:val="00BC17DA"/>
    <w:rsid w:val="00BD40C9"/>
    <w:rsid w:val="00C03DCE"/>
    <w:rsid w:val="00C26407"/>
    <w:rsid w:val="00C357F4"/>
    <w:rsid w:val="00C51E64"/>
    <w:rsid w:val="00C63EFB"/>
    <w:rsid w:val="00C662AB"/>
    <w:rsid w:val="00C712DA"/>
    <w:rsid w:val="00C86817"/>
    <w:rsid w:val="00CA2C2B"/>
    <w:rsid w:val="00CA4146"/>
    <w:rsid w:val="00D161AC"/>
    <w:rsid w:val="00D3235E"/>
    <w:rsid w:val="00D32AED"/>
    <w:rsid w:val="00D642F8"/>
    <w:rsid w:val="00D65B48"/>
    <w:rsid w:val="00D902C7"/>
    <w:rsid w:val="00DB1FE9"/>
    <w:rsid w:val="00DB54C0"/>
    <w:rsid w:val="00DC6713"/>
    <w:rsid w:val="00DD53CB"/>
    <w:rsid w:val="00DF79B0"/>
    <w:rsid w:val="00E10501"/>
    <w:rsid w:val="00E5352C"/>
    <w:rsid w:val="00E57F4B"/>
    <w:rsid w:val="00E92083"/>
    <w:rsid w:val="00EA3D78"/>
    <w:rsid w:val="00EA7A4E"/>
    <w:rsid w:val="00EB6929"/>
    <w:rsid w:val="00ED2C71"/>
    <w:rsid w:val="00F07299"/>
    <w:rsid w:val="00F123D5"/>
    <w:rsid w:val="00F17A0B"/>
    <w:rsid w:val="00F22CCF"/>
    <w:rsid w:val="00F80281"/>
    <w:rsid w:val="00F8424D"/>
    <w:rsid w:val="00F858DA"/>
    <w:rsid w:val="00F93C27"/>
    <w:rsid w:val="00FC1147"/>
    <w:rsid w:val="00FC5AC6"/>
    <w:rsid w:val="00FE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3D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DCE"/>
    <w:pPr>
      <w:ind w:left="720"/>
      <w:contextualSpacing/>
    </w:pPr>
  </w:style>
  <w:style w:type="table" w:customStyle="1" w:styleId="Sfondomedio21">
    <w:name w:val="Sfondo medio 21"/>
    <w:basedOn w:val="Tabellanormale"/>
    <w:uiPriority w:val="64"/>
    <w:rsid w:val="00E535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1">
    <w:name w:val="Medium Shading 1"/>
    <w:basedOn w:val="Tabellanormale"/>
    <w:uiPriority w:val="63"/>
    <w:rsid w:val="00605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tabella">
    <w:name w:val="Table Grid"/>
    <w:basedOn w:val="Tabellanormale"/>
    <w:uiPriority w:val="59"/>
    <w:rsid w:val="00605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chiara-Colore6">
    <w:name w:val="Light Grid Accent 6"/>
    <w:basedOn w:val="Tabellanormale"/>
    <w:uiPriority w:val="62"/>
    <w:rsid w:val="00605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0DF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C6E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C6E46"/>
  </w:style>
  <w:style w:type="paragraph" w:styleId="Pidipagina">
    <w:name w:val="footer"/>
    <w:basedOn w:val="Normale"/>
    <w:link w:val="PidipaginaCarattere"/>
    <w:uiPriority w:val="99"/>
    <w:unhideWhenUsed/>
    <w:rsid w:val="009C6E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glio_di_lavoro_di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/>
          <a:lstStyle/>
          <a:p>
            <a:pPr>
              <a:defRPr sz="1000"/>
            </a:pPr>
            <a:r>
              <a:rPr lang="it-IT" sz="1000" i="1"/>
              <a:t>Graphic 1.</a:t>
            </a:r>
            <a:r>
              <a:rPr lang="it-IT" sz="1000" baseline="0"/>
              <a:t> </a:t>
            </a:r>
            <a:r>
              <a:rPr lang="it-IT" sz="1000"/>
              <a:t>Correlation between smoking habits and IA rupture</a:t>
            </a:r>
          </a:p>
        </c:rich>
      </c:tx>
      <c:layout/>
    </c:title>
    <c:plotArea>
      <c:layout/>
      <c:barChart>
        <c:barDir val="bar"/>
        <c:grouping val="percentStacked"/>
        <c:ser>
          <c:idx val="1"/>
          <c:order val="1"/>
          <c:tx>
            <c:strRef>
              <c:f>Foglio1!$C$1</c:f>
              <c:strCache>
                <c:ptCount val="1"/>
                <c:pt idx="0">
                  <c:v>No SAH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Foglio1!$A$2:$A$3</c:f>
              <c:strCache>
                <c:ptCount val="2"/>
                <c:pt idx="0">
                  <c:v>Smoke</c:v>
                </c:pt>
                <c:pt idx="1">
                  <c:v>No Smoke</c:v>
                </c:pt>
              </c:strCache>
            </c:strRef>
          </c:cat>
          <c:val>
            <c:numRef>
              <c:f>Foglio1!$C$2:$C$3</c:f>
              <c:numCache>
                <c:formatCode>General</c:formatCode>
                <c:ptCount val="2"/>
                <c:pt idx="0">
                  <c:v>2</c:v>
                </c:pt>
                <c:pt idx="1">
                  <c:v>74</c:v>
                </c:pt>
              </c:numCache>
            </c:numRef>
          </c:val>
        </c:ser>
        <c:ser>
          <c:idx val="0"/>
          <c:order val="0"/>
          <c:tx>
            <c:strRef>
              <c:f>Foglio1!$B$1</c:f>
              <c:strCache>
                <c:ptCount val="1"/>
                <c:pt idx="0">
                  <c:v>SAH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Foglio1!$A$2:$A$3</c:f>
              <c:strCache>
                <c:ptCount val="2"/>
                <c:pt idx="0">
                  <c:v>Smoke</c:v>
                </c:pt>
                <c:pt idx="1">
                  <c:v>No Smoke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82</c:v>
                </c:pt>
                <c:pt idx="1">
                  <c:v>173</c:v>
                </c:pt>
              </c:numCache>
            </c:numRef>
          </c:val>
        </c:ser>
        <c:gapWidth val="95"/>
        <c:overlap val="100"/>
        <c:axId val="63110528"/>
        <c:axId val="64160896"/>
      </c:barChart>
      <c:catAx>
        <c:axId val="63110528"/>
        <c:scaling>
          <c:orientation val="minMax"/>
        </c:scaling>
        <c:axPos val="l"/>
        <c:numFmt formatCode="General" sourceLinked="1"/>
        <c:majorTickMark val="none"/>
        <c:tickLblPos val="nextTo"/>
        <c:crossAx val="64160896"/>
        <c:crosses val="autoZero"/>
        <c:auto val="1"/>
        <c:lblAlgn val="ctr"/>
        <c:lblOffset val="100"/>
      </c:catAx>
      <c:valAx>
        <c:axId val="64160896"/>
        <c:scaling>
          <c:orientation val="minMax"/>
        </c:scaling>
        <c:axPos val="b"/>
        <c:majorGridlines/>
        <c:numFmt formatCode="0%" sourceLinked="1"/>
        <c:majorTickMark val="none"/>
        <c:tickLblPos val="nextTo"/>
        <c:crossAx val="63110528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25400">
          <a:noFill/>
        </a:ln>
      </c:spPr>
    </c:plotArea>
    <c:plotVisOnly val="1"/>
    <c:dispBlanksAs val="gap"/>
  </c:chart>
  <c:spPr>
    <a:solidFill>
      <a:schemeClr val="lt1"/>
    </a:solidFill>
    <a:ln w="25400">
      <a:solidFill>
        <a:schemeClr val="dk1"/>
      </a:solidFill>
    </a:ln>
    <a:effectLst/>
  </c:spPr>
  <c:txPr>
    <a:bodyPr/>
    <a:lstStyle/>
    <a:p>
      <a:pPr>
        <a:defRPr sz="1000">
          <a:solidFill>
            <a:schemeClr val="dk1"/>
          </a:solidFill>
          <a:latin typeface="Times New Roman" pitchFamily="18" charset="0"/>
          <a:ea typeface="+mn-ea"/>
          <a:cs typeface="Times New Roman" pitchFamily="18" charset="0"/>
        </a:defRPr>
      </a:pPr>
      <a:endParaRPr lang="it-IT"/>
    </a:p>
  </c:txPr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E1DD-0C72-41C2-904E-D3CDE21B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28</Pages>
  <Words>5755</Words>
  <Characters>32807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116</cp:revision>
  <dcterms:created xsi:type="dcterms:W3CDTF">2019-06-25T22:13:00Z</dcterms:created>
  <dcterms:modified xsi:type="dcterms:W3CDTF">2019-08-26T18:46:00Z</dcterms:modified>
</cp:coreProperties>
</file>