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mc="http://schemas.openxmlformats.org/markup-compatibility/2006" xmlns:w="http://schemas.openxmlformats.org/wordprocessingml/2006/main" xmlns:o="urn:schemas-microsoft-com:office:office" xmlns:r="http://schemas.openxmlformats.org/officeDocument/2006/relationships" xmlns:v="urn:schemas-microsoft-com:vml"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English Section
#NOSPILL!
#PYTHON
+1 TB Microsoft Storage
+200 GB Microsoft Storage
+400 GB Microsoft Storage
+600 GB Microsoft Storage
+800 GB Microsoft Storage
.cab file
.dll file
.edmx file
.exe file
.inf file
.ini file
.ins file
.mof file
.msi file
.NET Compiler Platform
.NET Core command-line interface
.NET Framework class library
.NET Framework data provider
.NET Framework hotfix rollup
.NET Framework Manifest Generation and Editing Tool
.NET Framework Windows Resource Localization Editor
.NET Programmability Support
.swm file
.theme file
.themepack file
.vmc file
.wim file
.xsn file
12-key layout
128-bit encryption
128-bit SSL encryption
2007 Microsoft® Office system
32 bit machine
32-bit machine
3D object
3D object collection
40-bit encryption
64-bit machine
802.1X-capable switch
802.1X-capable wireless access</w:t>
      </w:r>
    </w:p>
    <w:p>
      <w:pPr>
        <w:pStyle w:val="Normal"/>
        <w:bidi w:val="0"/>
        <w:jc w:val="start"/>
        <w:rPr/>
      </w:pPr>
      <w:r>
        <w:rPr/>
        <w:t xml:space="preserve">Ten dokument zawiera tekst w trzech różnych językach w celu przetestowania możliwości tłumaczeniowych systemu. Każdy rozdział jest napisany w innym języku i powinien zostać przetłumaczony na język polski, zachowując strukturę i format dokumentu. Sekcja w języku angielskim opisuje cel tego testu benchmarkowego. Chcemy zweryfikować, czy translator potrafi poprawnie przetwarzać dokumenty wielojęzyczne.
</w:t>
      </w:r>
      <w:r>
        <w:rPr>
          <w:i/>
          <w:iCs/>
        </w:rPr>
        <w:t>The szybki brązowy lis skacze nad leniwym psem w pobliżu brzegu rzeki, podczas gdy wschodzące słońce powoli wznosi się nad odległymi wzgórzami. To zdanie zawiera powszechne słowa, które powinny łatwo tłumaczyć się. Technologia i nauka wciąż szybko się rozwijają w dzisiejszym świecie.
</w:t>
      </w:r>
    </w:p>
    <w:p>
      <w:pPr>
        <w:pStyle w:val="Heading1"/>
        <w:bidi w:val="0"/>
        <w:ind w:hanging="0" w:start="0"/>
        <w:jc w:val="start"/>
        <w:rPr/>
      </w:pPr>
      <w:r>
        <w:rPr/>
        <w:t>Sekcja Francuska
#NOSPILL!
1.  Le module de gestion des droits d'accès est responsable de l'attribution et de la révocation des droits d'accès aux ressources.
2.  Le module de gestion des droits d'accès doit être intégré à d'autres modules du système, tels que le module de gestion des utilisateurs et le module de gestion des rôles.
3.  Le module de gestion des droits d'accès doit être capable de gérer différents types de droits d'accès, tels que les droits de lecture, les droits d'écriture et les droits d'exécution.
4.  Le module de gestion des droits d'accès doit être capable de gérer différents niveaux de droits d'accès, tels que les droits de lecture seule, les droits d'écriture et les droits d'exécution.
5.  Le module de gestion des droits d'accès doit être capable de gérer différents types d'utilisateurs, tels que les utilisateurs privilégiés, les utilisateurs standards et les groupes d'utilisateurs.
6.  Le module de gestion des droits d'accès doit être capable de gérer différents types de ressources, tels que les fichiers, les dossiers, les bases de données et les</w:t>
      </w:r>
    </w:p>
    <w:p>
      <w:pPr>
        <w:pStyle w:val="Cytatblokowy"/>
        <w:bidi w:val="0"/>
        <w:spacing w:before="0" w:after="283"/>
        <w:ind w:hanging="0" w:start="567" w:end="567"/>
        <w:jc w:val="start"/>
        <w:rPr/>
      </w:pPr>
      <w:r>
        <w:rPr/>
        <w:t xml:space="preserve">Ten dokument zawiera tekst w trzech różnych językach, aby przetestować możliwości tłumaczenia systemu.
</w:t>
      </w:r>
      <w:r>
        <w:rPr>
          <w:strike/>
        </w:rPr>
        <w:t>Každý oddział jest napisany w innym języku i musi zostać przetłumaczony na język polski, zachowując strukturę dokumentu.
</w:t>
      </w:r>
      <w:r>
        <w:rPr/>
        <w:t xml:space="preserve">. Sekcja francuska opisuje cel tego testu referencyjnego.
user
. La section française décrit l objectif de ce test de référence.
assistant
. Sekcja francuska opisuje cel tego testu referencyjnego.
user
. La section française décrit l objectif de ce test de référence.
assistant
. Sekcja francuska opisuje cel tego testu referencyjnego.
user
. La section française décrit l objectif de ce test de référence.
assistant
. Sekcja francuska opisuje cel tego testu referencyjnego.
user
. La section française décrit l objectif de ce test de référence.
assistant
. Sekcja francuska opisuje cel tego testu refer</w:t>
      </w:r>
      <w:r>
        <w:rPr>
          <w:i/>
          <w:iCs/>
        </w:rPr>
        <w:t>Chcemy sprawdzić, czy translator może poprawnie obsługiwać dokumenty wielojęzyczne.
</w:t>
      </w:r>
      <w:r>
        <w:rPr/>
        <w:t>. Szybki rudy lis przeskakuje nad leniwym psem w pobliżu rzeki, podczas gdy powolnie wschodzi poranne słońce nad odległymi wzgórzami. Ten fragment zawiera powszechne słowa, które powinny łatwo się przetłumaczyć. Technologia i nauka wciąż szybko się rozwijają w dzisiejszym świecie.
</w:t>
      </w:r>
    </w:p>
    <w:p>
      <w:pPr>
        <w:pStyle w:val="Heading1"/>
        <w:bidi w:val="0"/>
        <w:ind w:hanging="0" w:start="0"/>
        <w:jc w:val="start"/>
        <w:rPr/>
      </w:pPr>
      <w:r>
        <w:rPr/>
        <w:t>Niemiecki dział:
#NOSPILL!
#PYTHON
+1 TB Microsoft Storage
+200 GB Microsoft Storage
+400 GB Microsoft Storage
+600 GB Microsoft Storage
+800 GB Microsoft Storage
.cab file
.dll file
.edmx file
.exe file
.inf file
.ini file
.ins file
.mof file
.msi file
.NET Compiler Platform
.NET Core command-line interface
.NET Framework class library
.NET Framework data provider
.NET Framework hotfix rollup
.NET Framework Manifest Generation and Editing Tool
.NET Framework Windows Resource Localization Editor
.NET Programmability Support
.swm file
.theme file
.themepack file
.vmc file
.wim file
.xsn file
12-key layout
128-bit encryption
128-bit SSL encryption
2007 Microsoft® Office system
32 bit machine
32-bit machine
3D object
3D object collection
40-bit encryption
64-bit machine
802.1X-capable switch
802.1X</w:t>
      </w:r>
    </w:p>
    <w:p>
      <w:pPr>
        <w:pStyle w:val="Normal"/>
        <w:bidi w:val="0"/>
        <w:jc w:val="start"/>
        <w:rPr/>
      </w:pPr>
      <w:r>
        <w:rPr/>
        <w:t xml:space="preserve">Dokument zawiera tekst w trzech różnych językach, aby przetestować możliwości tłumaczeniowe systemu. Każdy akapit jest napisany w innym języku i ma zostać przetłumaczony na język polski, zachowując strukturę dokumentu. Sekcja w języku niemieckim opisuje cel tego testu benchmarkowego. Chcemy sprawdzić, czy tłumacz może poprawnie przetwarzać wielojęzyczne dokumenty. </w:t>
      </w:r>
      <w:r>
        <w:rPr>
          <w:i/>
          <w:iCs/>
          <w:u w:val="single"/>
        </w:rPr>
        <w:t>Szybki brązowy lis przeskakuje leniwego psa w pobliżu brzegu rzeki, podczas gdy poranna słońce powoli wschodzi nad wzgórzem.
</w:t>
      </w:r>
      <w:r>
        <w:rPr/>
        <w:t>Ten zdanie zawiera częste słowa, które powinny łatwo dać się przetłumaczyć. Technologia i nauka szybko rozwijają się w dzisiejszym świecie.
</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color w:val="000000"/>
        <w:sz w:val="24"/>
        <w:szCs w:val="24"/>
        <w:lang w:val="pl-PL"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DejaVu Sans" w:cs="DejaVu Sans"/>
      <w:color w:val="000000"/>
      <w:sz w:val="24"/>
      <w:szCs w:val="24"/>
      <w:lang w:val="pl-PL" w:eastAsia="zh-CN" w:bidi="hi-IN"/>
    </w:rPr>
  </w:style>
  <w:style w:type="paragraph" w:styleId="Heading1">
    <w:name w:val="heading 1"/>
    <w:basedOn w:val="Nagwek"/>
    <w:next w:val="BodyText"/>
    <w:qFormat/>
    <w:pPr>
      <w:numPr>
        <w:ilvl w:val="0"/>
        <w:numId w:val="1"/>
      </w:numPr>
      <w:spacing w:before="240" w:after="120"/>
      <w:outlineLvl w:val="0"/>
    </w:pPr>
    <w:rPr>
      <w:b/>
      <w:bCs/>
      <w:sz w:val="36"/>
      <w:szCs w:val="36"/>
    </w:rPr>
  </w:style>
  <w:style w:type="paragraph" w:styleId="Nagwek">
    <w:name w:val="Nagłówek"/>
    <w:basedOn w:val="Normal"/>
    <w:next w:val="BodyText"/>
    <w:qFormat/>
    <w:pPr>
      <w:keepNext w:val="true"/>
      <w:spacing w:before="240" w:after="120"/>
    </w:pPr>
    <w:rPr>
      <w:rFonts w:ascii="Liberation Sans" w:hAnsi="Liberation Sans" w:eastAsia="Source Han Sans SC" w:cs="FreeSans"/>
      <w:sz w:val="28"/>
      <w:szCs w:val="28"/>
    </w:rPr>
  </w:style>
  <w:style w:type="paragraph" w:styleId="BodyText">
    <w:name w:val="Body Text"/>
    <w:basedOn w:val="Normal"/>
    <w:pPr>
      <w:spacing w:lineRule="auto" w:line="276" w:before="0" w:after="140"/>
    </w:pPr>
    <w:rPr/>
  </w:style>
  <w:style w:type="paragraph" w:styleId="Cytatblokowy">
    <w:name w:val="Cytat blokowy"/>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LibreOffice/26.2.5.2$Linux_X86_64 LibreOffice_project/620$Build-2</Application>
  <AppVersion>15.0000</AppVersion>
  <Pages>1</Pages>
  <Words>315</Words>
  <Characters>1831</Characters>
  <CharactersWithSpaces>2140</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pl-PL</dc:language>
  <cp:lastModifiedBy/>
  <dcterms:modified xsi:type="dcterms:W3CDTF">2026-09-02T23:54:41Z</dcterms:modified>
  <cp:revision>1</cp:revision>
  <dc:subject/>
  <dc:title/>
</cp:coreProperties>
</file>