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tabs>
          <w:tab w:val="left" w:leader="none" w:pos="1934"/>
        </w:tabs>
        <w:spacing/>
        <w:ind/>
        <w:rPr/>
      </w:pPr>
      <w:r>
        <w:rPr>
          <w:rStyle w:val="150"/>
        </w:rPr>
        <w:t xml:space="preserve">程序</w:t>
      </w:r>
      <w:r>
        <w:rPr>
          <w:rStyle w:val="150"/>
        </w:rPr>
        <w:t xml:space="preserve">部分</w:t>
      </w:r>
      <w:r>
        <w:tab/>
      </w:r>
      <w:r/>
    </w:p>
    <w:p>
      <w:pPr>
        <w:pBdr/>
        <w:spacing/>
        <w:ind/>
        <w:rPr>
          <w:highlight w:val="none"/>
        </w:rPr>
      </w:pPr>
      <w:r>
        <w:t xml:space="preserve">这是</w:t>
      </w:r>
      <w:r>
        <w:t xml:space="preserve">关于</w:t>
      </w:r>
      <w:r>
        <w:rPr>
          <w:lang w:val="en-US"/>
        </w:rPr>
        <w:t xml:space="preserve"> </w:t>
      </w:r>
      <w:r>
        <w:rPr>
          <w:lang w:val="en-US"/>
        </w:rPr>
        <w:t xml:space="preserve">VEX V5 </w:t>
      </w:r>
      <w:r>
        <w:rPr>
          <w:lang w:val="en-US"/>
        </w:rPr>
        <w:t xml:space="preserve">高中</w:t>
      </w:r>
      <w:r>
        <w:rPr>
          <w:lang w:val="en-US"/>
        </w:rPr>
        <w:t xml:space="preserve">组 2025-2026 Push Back </w:t>
      </w:r>
      <w:r>
        <w:rPr>
          <w:lang w:val="en-US"/>
        </w:rPr>
        <w:t xml:space="preserve">比赛</w:t>
      </w:r>
      <w:r>
        <w:rPr>
          <w:lang w:val="en-US"/>
        </w:rPr>
        <w:t xml:space="preserve">相关</w:t>
      </w:r>
      <w:r>
        <w:rPr>
          <w:lang w:val="en-US"/>
        </w:rPr>
        <w:t xml:space="preserve">的</w:t>
      </w:r>
      <w:r>
        <w:t xml:space="preserve">程序</w:t>
      </w:r>
      <w:r>
        <w:t xml:space="preserve">部分</w:t>
      </w:r>
      <w:r>
        <w:t xml:space="preserve">的</w:t>
      </w:r>
      <w:r>
        <w:t xml:space="preserve">笔记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40"/>
        <w:pBdr/>
        <w:spacing/>
        <w:ind/>
        <w:rPr/>
      </w:pPr>
      <w:r/>
      <w:r>
        <w:t xml:space="preserve">函数</w:t>
      </w:r>
      <w:r>
        <w:t xml:space="preserve">介绍</w:t>
      </w:r>
      <w:r/>
      <w:r/>
    </w:p>
    <w:p>
      <w:pPr>
        <w:pBdr/>
        <w:spacing/>
        <w:ind/>
        <w:rPr>
          <w:highlight w:val="none"/>
          <w:lang w:val="en-US"/>
        </w:rPr>
      </w:pPr>
      <w:r/>
      <w:r>
        <w:t xml:space="preserve">在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 xml:space="preserve">function.cpp </w:t>
      </w:r>
      <w:r>
        <w:rPr>
          <w:lang w:val="en-US"/>
        </w:rPr>
        <w:t xml:space="preserve">文件</w:t>
      </w:r>
      <w:r>
        <w:rPr>
          <w:lang w:val="en-US"/>
        </w:rPr>
        <w:t xml:space="preserve">中， </w:t>
      </w:r>
      <w:r>
        <w:rPr>
          <w:lang w:val="en-US"/>
        </w:rPr>
        <w:t xml:space="preserve">我们</w:t>
      </w:r>
      <w:r>
        <w:rPr>
          <w:lang w:val="en-US"/>
        </w:rPr>
        <w:t xml:space="preserve">把</w:t>
      </w:r>
      <w:r>
        <w:rPr>
          <w:lang w:val="en-US"/>
        </w:rPr>
        <w:t xml:space="preserve">常用</w:t>
      </w:r>
      <w:r>
        <w:rPr>
          <w:lang w:val="en-US"/>
        </w:rPr>
        <w:t xml:space="preserve">的</w:t>
      </w:r>
      <w:r>
        <w:rPr>
          <w:lang w:val="en-US"/>
        </w:rPr>
        <w:t xml:space="preserve">功能</w:t>
      </w:r>
      <w:r>
        <w:rPr>
          <w:lang w:val="en-US"/>
        </w:rPr>
        <w:t xml:space="preserve">提取</w:t>
      </w:r>
      <w:r>
        <w:rPr>
          <w:lang w:val="en-US"/>
        </w:rPr>
        <w:t xml:space="preserve">封装</w:t>
      </w:r>
      <w:r>
        <w:rPr>
          <w:lang w:val="en-US"/>
        </w:rPr>
        <w:t xml:space="preserve">成</w:t>
      </w:r>
      <w:r>
        <w:rPr>
          <w:lang w:val="en-US"/>
        </w:rPr>
        <w:t xml:space="preserve">了</w:t>
      </w:r>
      <w:r>
        <w:rPr>
          <w:lang w:val="en-US"/>
        </w:rPr>
        <w:t xml:space="preserve">函数</w:t>
      </w:r>
      <w:r>
        <w:rPr>
          <w:lang w:val="en-US"/>
        </w:rPr>
        <w:t xml:space="preserve">以</w:t>
      </w:r>
      <w:r>
        <w:rPr>
          <w:lang w:val="en-US"/>
        </w:rPr>
        <w:t xml:space="preserve">解耦、</w:t>
      </w:r>
      <w:r>
        <w:rPr>
          <w:lang w:val="en-US"/>
        </w:rPr>
        <w:t xml:space="preserve">提高</w:t>
      </w:r>
      <w:r>
        <w:rPr>
          <w:lang w:val="en-US"/>
        </w:rPr>
        <w:t xml:space="preserve">开发</w:t>
      </w:r>
      <w:r>
        <w:rPr>
          <w:lang w:val="en-US"/>
        </w:rPr>
        <w:t xml:space="preserve">效率</w:t>
      </w:r>
      <w:r>
        <w:rPr>
          <w:lang w:val="en-US"/>
        </w:rPr>
        <w:t xml:space="preserve"> </w:t>
      </w:r>
      <w:r>
        <w:rPr>
          <w:lang w:val="en-US"/>
        </w:rPr>
        <w:t xml:space="preserve">以下</w:t>
      </w:r>
      <w:r>
        <w:rPr>
          <w:lang w:val="en-US"/>
        </w:rPr>
        <w:t xml:space="preserve">为</w:t>
      </w:r>
      <w:r>
        <w:rPr>
          <w:lang w:val="en-US"/>
        </w:rPr>
        <w:t xml:space="preserve">介绍</w:t>
      </w:r>
      <w:r>
        <w:t xml:space="preserve">和一些说明</w:t>
      </w:r>
      <w:r>
        <w:rPr>
          <w:lang w:val="en-US"/>
        </w:rPr>
      </w:r>
      <w:r>
        <w:rPr>
          <w:lang w:val="en-US"/>
        </w:rPr>
      </w:r>
      <w:r>
        <w:rPr>
          <w:highlight w:val="none"/>
          <w:lang w:val="en-US"/>
        </w:rPr>
      </w:r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init()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：IMU 初始化与校准监控函数。在 IMU 开始校准时持续显示当前朝向，辅助判断是否校准完成。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交互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：同时在 Brain 屏幕和控制器屏幕输出角度，便于调试。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MoveDistancePID(...)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核心移动函数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，基于行程轮（y 编码器）实现带 IMU 朝向纠偏的精准直线移动，并支持平滑加速/减速。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关键机制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使用行程轮（假设直径为 2 英寸，周长 2π  英寸）将编码器转角换算为实际移动距离（单位：英寸）；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实时计算剩余距离，并动态调整目标速度（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非线性减速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currentSpeed = pow(remainingDist * DISkp, 2) * Maxspeed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通过 IMU 误差进行差速纠偏（</w:t>
      </w:r>
      <w:r>
        <w:rPr>
          <w:rFonts w:ascii="Courier New" w:hAnsi="Courier New" w:eastAsia="Courier New" w:cs="Courier New"/>
          <w:color w:val="000000"/>
          <w:sz w:val="20"/>
        </w:rPr>
        <w:t xml:space="preserve">k = deg_error * Anglekp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包含超时保护，防止卡死；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电机模式为百分比控制。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注：此函数中 </w:t>
      </w:r>
      <w:r>
        <w:rPr>
          <w:rFonts w:ascii="Courier New" w:hAnsi="Courier New" w:eastAsia="Courier New" w:cs="Courier New"/>
          <w:color w:val="000000"/>
          <w:sz w:val="20"/>
        </w:rPr>
        <w:t xml:space="preserve">DISkp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控制减速灵敏度，</w:t>
      </w:r>
      <w:r>
        <w:rPr>
          <w:rFonts w:ascii="Courier New" w:hAnsi="Courier New" w:eastAsia="Courier New" w:cs="Courier New"/>
          <w:color w:val="000000"/>
          <w:sz w:val="20"/>
        </w:rPr>
        <w:t xml:space="preserve">Anglekp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控制纠偏强度。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US"/>
        </w:rPr>
        <w:t xml:space="preserve">3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smartTurn(double targetAngle, double kP, double kI, double kD)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：基于 IMU（惯性测量单元）反馈，使用 PID + 前馈 + 动态增益调整机制，实现高精度的原地转向控制。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特点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自动将角度误差归一化到 [−180∘,180∘] ，避免绕远路；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接近目标角度（误差 &lt; 15°）时自动降低比例系数 </w:t>
      </w:r>
      <w:r>
        <w:rPr>
          <w:rFonts w:ascii="Courier New" w:hAnsi="Courier New" w:eastAsia="Courier New" w:cs="Courier New"/>
          <w:color w:val="000000"/>
          <w:sz w:val="20"/>
        </w:rPr>
        <w:t xml:space="preserve">kP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，减少超调；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引入积分项（带条件积分与抗饱和处理）消除稳态误差；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限制输出在 [−100%,100%] ，防止电机过载；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有 3 秒超时保护，避免死循环；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到达目标角度后需稳定 50ms 才算完成，提高鲁棒性。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US"/>
        </w:rPr>
        <w:t xml:space="preserve">4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move(vex::directionType dir, float dis, int v)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：最基础的同步直线移动函数，仅依赖左右电机编码器，不使用 IMU。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用途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：用于对精度要求不高、路径短或调试场景。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注意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：两个电机同时 </w:t>
      </w:r>
      <w:r>
        <w:rPr>
          <w:rFonts w:ascii="Courier New" w:hAnsi="Courier New" w:eastAsia="Courier New" w:cs="Courier New"/>
          <w:color w:val="000000"/>
          <w:sz w:val="20"/>
        </w:rPr>
        <w:t xml:space="preserve">spinFor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，右轮设为阻塞模式以确保同步结束。 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US"/>
        </w:rPr>
        <w:t xml:space="preserve">5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moveTime(vex::directionType dir, double sp, double times)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</w:r>
      <w:r>
        <w:rPr>
          <w:rFonts w:ascii="Times New Roman" w:hAnsi="Times New Roman" w:eastAsia="Times New Roman" w:cs="Times New Roman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：按固定时间与速度进行粗略移动。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适用场景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：无编码器反馈、或临时测试用（如冲撞、微调位置）。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缺点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：受电池电压、地面摩擦影响大，重复性差。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6.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front_panel_control()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/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front_panel_released()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：控制前挡板（气动或电磁阀）的开关状态，使用“单次触发+状态锁”机制防止按键连发。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逻辑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：按一次开，再按一次关，交替切换。 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7.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Double_hook_control()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/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Double_hook_released()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：与前挡板类似，用于控制双边钩子机构的释放/收回，同样采用防抖切换逻辑。 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8.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Bucket_to_Bridge()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与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Bucket_to_Bridge_rdiff()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这是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解耦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的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经典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例子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，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这是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一个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完整的自动任务函数，用于“从得分桶区域运球到桥区并释放”。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我们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特地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编写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了</w:t>
      </w:r>
      <w:r>
        <w:rPr>
          <w:rFonts w:ascii="Courier New" w:hAnsi="Courier New" w:eastAsia="Courier New" w:cs="Courier New"/>
          <w:color w:val="000000"/>
          <w:sz w:val="20"/>
        </w:rPr>
        <w:t xml:space="preserve">_rdiff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版本参数微调（如时间、速度），用于适应右侧场地差异。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流程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 </w:t>
      </w:r>
      <w:r/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打开前挡板；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启动滚筒吸球；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向前冲入得分区；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等待吸球完成；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后退至桥区；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抬升机构并反向吐球；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执行“抖动”动作释放残余球；</w:t>
      </w:r>
      <w:r/>
    </w:p>
    <w:p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复位机构。</w:t>
      </w:r>
      <w:r>
        <w:rPr>
          <w:rFonts w:ascii="Times New Roman" w:hAnsi="Times New Roman" w:eastAsia="Times New Roman" w:cs="Times New Roman"/>
          <w:color w:val="000000"/>
          <w:sz w:val="24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9.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pid(double t, double kp, double ki, double kd, double minVolt)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：使用电压控制模式的 PI 转向函数（虽然叫 </w:t>
      </w:r>
      <w:r>
        <w:rPr>
          <w:rFonts w:ascii="Courier New" w:hAnsi="Courier New" w:eastAsia="Courier New" w:cs="Courier New"/>
          <w:color w:val="000000"/>
          <w:sz w:val="20"/>
        </w:rPr>
        <w:t xml:space="preserve">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，但实际未使用 D 项）。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优势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：电压控制比百分比更线性，适合 PID 输出直接映射。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特点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 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设置死区电压（</w:t>
      </w:r>
      <w:r>
        <w:rPr>
          <w:rFonts w:ascii="Courier New" w:hAnsi="Courier New" w:eastAsia="Courier New" w:cs="Courier New"/>
          <w:color w:val="000000"/>
          <w:sz w:val="20"/>
        </w:rPr>
        <w:t xml:space="preserve">minVolt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）克服静摩擦；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输出限幅在 ±12.8V（V5 电机最大电压）；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同样包含误差归一化、积分抗饱和、目标稳定判断。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11.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getSmoothTargetVelocity(...)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辅助函数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，根据当前已行进距离，计算理论上的平滑目标速度（使用余弦函数实现加速度连续的 S 型减速）。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原理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 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先计算所需减速距离：d=2av2​ ；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在减速段使用 v(t)=vmax​⋅21+cos(π⋅t)​  实现“零加速度启动/停止”，减少机械冲击。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用途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：可集成到高级移动逻辑中，提升运动平顺性（当前未直接调用，但为未来优化预留）。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12.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Occupying_the_scoring_zone()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：执行“占据得分区”自动任务，典型用于防守或得分区域控制。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动作序列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 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向前移动一段（右轮行程更长，可能用于斜向进入）；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释放双钩锁定位置；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短暂后退并持续后移，完成占位。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控制细节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：期间切换电机 stopping mode（</w:t>
      </w:r>
      <w:r>
        <w:rPr>
          <w:rFonts w:ascii="Courier New" w:hAnsi="Courier New" w:eastAsia="Courier New" w:cs="Courier New"/>
          <w:color w:val="000000"/>
          <w:sz w:val="20"/>
        </w:rPr>
        <w:t xml:space="preserve">hold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Courier New" w:hAnsi="Courier New" w:eastAsia="Courier New" w:cs="Courier New"/>
          <w:color w:val="000000"/>
          <w:sz w:val="20"/>
        </w:rPr>
        <w:t xml:space="preserve">brake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），适应不同阶段需求。</w:t>
      </w:r>
      <w:r/>
    </w:p>
    <w:p>
      <w:pPr>
        <w:pStyle w:val="140"/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算法</w:t>
      </w:r>
      <w:r>
        <w:rPr>
          <w:highlight w:val="none"/>
          <w:lang w:val="en-US"/>
        </w:rPr>
        <w:t xml:space="preserve">介绍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Output</m:t>
          </m:r>
          <m:r>
            <w:rPr>
              <w:rFonts w:ascii="Cambria Math" w:hAnsi="Cambria Math" w:eastAsia="Cambria Math" w:cs="Cambria Math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r>
                <w:rPr>
                  <w:rFonts w:ascii="Cambria Math" w:hAnsi="Cambria Math" w:eastAsia="Cambria Math" w:cs="Cambria Math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</w:rPr>
                <m:rPr/>
                <m:t>p</m:t>
              </m:r>
            </m:sub>
          </m:sSub>
          <m:r>
            <w:rPr>
              <w:rFonts w:ascii="Cambria Math" w:hAnsi="Cambria Math" w:eastAsia="Cambria Math" w:cs="Cambria Math"/>
            </w:rPr>
            <m:rPr/>
            <m:t>⋅e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t</m:t>
              </m:r>
            </m:e>
          </m:d>
          <m:r>
            <w:rPr>
              <w:rFonts w:ascii="Cambria Math" w:hAnsi="Cambria Math" w:eastAsia="Cambria Math" w:cs="Cambria Math"/>
            </w:rPr>
            <m:rPr/>
            <m:t>+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r>
                <w:rPr>
                  <w:rFonts w:ascii="Cambria Math" w:hAnsi="Cambria Math" w:eastAsia="Cambria Math" w:cs="Cambria Math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</w:rPr>
                <m:rPr/>
                <m:t>i</m:t>
              </m:r>
            </m:sub>
          </m:sSub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∫"/>
              <m:grow m:val="off"/>
              <m:subHide m:val="on"/>
              <m:supHide m:val="on"/>
              <m:ctrlPr>
                <w:rPr>
                  <w:rFonts w:ascii="Cambria Math" w:hAnsi="Cambria Math" w:eastAsia="Cambria Math" w:cs="Cambria Math"/>
                </w:rPr>
              </m:ctrlPr>
            </m:naryPr>
            <m:sub/>
            <m:sup/>
            <m:e>
              <m:r>
                <w:rPr>
                  <w:rFonts w:ascii="Cambria Math" w:hAnsi="Cambria Math" w:eastAsia="Cambria Math" w:cs="Cambria Math"/>
                </w:rPr>
                <m:rPr/>
                <m:t>e</m:t>
              </m:r>
            </m:e>
          </m:nary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t</m:t>
              </m:r>
            </m:e>
          </m:d>
          <m:r>
            <w:rPr>
              <w:rFonts w:ascii="Cambria Math" w:hAnsi="Cambria Math" w:eastAsia="Cambria Math" w:cs="Cambria Math"/>
            </w:rPr>
            <m:rPr/>
            <m:t>dt+</m:t>
          </m:r>
          <m:sSub>
            <m:sSubPr>
              <m:ctrlPr>
                <w:rPr>
                  <w:rFonts w:ascii="Cambria Math" w:hAnsi="Cambria Math" w:eastAsia="Cambria Math" w:cs="Cambria Math"/>
                </w:rPr>
              </m:ctrlPr>
            </m:sSubPr>
            <m:e>
              <m:r>
                <w:rPr>
                  <w:rFonts w:ascii="Cambria Math" w:hAnsi="Cambria Math" w:eastAsia="Cambria Math" w:cs="Cambria Math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</w:rPr>
                <m:rPr/>
                <m:t>d</m:t>
              </m:r>
            </m:sub>
          </m:sSub>
          <m:r>
            <w:rPr>
              <w:rFonts w:ascii="Cambria Math" w:hAnsi="Cambria Math" w:eastAsia="Cambria Math" w:cs="Cambria Math"/>
            </w:rPr>
            <m:rPr/>
            <m:t>⋅</m:t>
          </m:r>
          <m:f>
            <m:fPr>
              <m:ctrlPr>
                <w:rPr>
                  <w:rFonts w:ascii="Cambria Math" w:hAnsi="Cambria Math" w:eastAsia="Cambria Math" w:cs="Cambria Math"/>
                </w:rPr>
              </m:ctrlPr>
            </m:fPr>
            <m:num>
              <m:r>
                <w:rPr>
                  <w:rFonts w:ascii="Cambria Math" w:hAnsi="Cambria Math" w:eastAsia="Cambria Math" w:cs="Cambria Math"/>
                </w:rPr>
                <m:rPr/>
                <m:t>de</m:t>
              </m:r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t</m:t>
                  </m:r>
                </m:e>
              </m:d>
            </m:num>
            <m:den>
              <m:r>
                <w:rPr>
                  <w:rFonts w:ascii="Cambria Math" w:hAnsi="Cambria Math" w:eastAsia="Cambria Math" w:cs="Cambria Math"/>
                </w:rPr>
                <m:rPr/>
                <m:t>dt</m:t>
              </m:r>
            </m:den>
          </m:f>
        </m:oMath>
      </m:oMathPara>
      <w:r/>
      <w:r>
        <w:rPr>
          <w:highlight w:val="none"/>
          <w:lang w:val="en-US"/>
        </w:rPr>
      </w:r>
      <w:r/>
    </w:p>
    <w:p>
      <w:pPr>
        <w:pStyle w:val="140"/>
        <w:pBdr/>
        <w:spacing/>
        <w:ind/>
        <w:rPr/>
      </w:pPr>
      <w:r>
        <w:rPr>
          <w:highlight w:val="none"/>
          <w:lang w:val="en-US"/>
        </w:rPr>
        <w:t xml:space="preserve">路线</w:t>
      </w:r>
      <w:r>
        <w:rPr>
          <w:highlight w:val="none"/>
          <w:lang w:val="en-US"/>
        </w:rPr>
        <w:t xml:space="preserve">介绍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Style w:val="139"/>
        <w:pBdr/>
        <w:spacing/>
        <w:ind/>
        <w:rPr/>
      </w:pPr>
      <w:r>
        <w:rPr>
          <w:highlight w:val="none"/>
          <w:lang w:val="en-US"/>
        </w:rPr>
        <w:t xml:space="preserve">调试、</w:t>
      </w:r>
      <w:r>
        <w:rPr>
          <w:highlight w:val="none"/>
          <w:lang w:val="en-US"/>
        </w:rPr>
        <w:t xml:space="preserve">开发 </w:t>
      </w:r>
      <w:r>
        <w:rPr>
          <w:highlight w:val="none"/>
          <w:lang w:val="en-US"/>
        </w:rPr>
        <w:t xml:space="preserve">相关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3"/>
          <w:lang w:val="en-US"/>
        </w:rPr>
        <w:t xml:space="preserve">源代码</w:t>
      </w:r>
      <w:r>
        <w:rPr>
          <w:rFonts w:ascii="Courier New" w:hAnsi="Courier New" w:eastAsia="Courier New" w:cs="Courier New"/>
          <w:b/>
          <w:color w:val="000000"/>
          <w:sz w:val="23"/>
          <w:lang w:val="en-US"/>
        </w:rPr>
        <w:t xml:space="preserve">的</w:t>
      </w:r>
      <w:r>
        <w:rPr>
          <w:rFonts w:ascii="Courier New" w:hAnsi="Courier New" w:eastAsia="Courier New" w:cs="Courier New"/>
          <w:b/>
          <w:color w:val="000000"/>
          <w:sz w:val="23"/>
          <w:lang w:val="en-US"/>
        </w:rPr>
        <w:t xml:space="preserve">管理</w:t>
      </w:r>
      <w:r>
        <w:rPr>
          <w:rFonts w:ascii="Times New Roman" w:hAnsi="Times New Roman" w:eastAsia="Times New Roman" w:cs="Times New Roman"/>
          <w:sz w:val="28"/>
        </w:rPr>
      </w:r>
    </w:p>
    <w:p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t xml:space="preserve">我们</w:t>
      </w:r>
      <w:r>
        <w:t xml:space="preserve">使用</w:t>
      </w:r>
      <w:r>
        <w:t xml:space="preserve">了</w:t>
      </w:r>
      <w:r>
        <w:t xml:space="preserve">git</w:t>
      </w:r>
      <w:r>
        <w:t xml:space="preserve">来</w:t>
      </w:r>
      <w:r>
        <w:t xml:space="preserve">管理</w:t>
      </w:r>
      <w:r>
        <w:t xml:space="preserve">代码</w:t>
      </w:r>
      <w:r>
        <w:rPr>
          <w:lang w:val="en-US"/>
        </w:rPr>
        <w:t xml:space="preserve">，</w:t>
      </w:r>
      <w:r>
        <w:t xml:space="preserve">这</w:t>
      </w:r>
      <w:r>
        <w:t xml:space="preserve">可以</w:t>
      </w:r>
      <w:r>
        <w:t xml:space="preserve">让我们</w:t>
      </w:r>
      <w:r>
        <w:t xml:space="preserve">轻松</w:t>
      </w:r>
      <w:r>
        <w:t xml:space="preserve">地</w:t>
      </w:r>
      <w:r>
        <w:t xml:space="preserve">回溯</w:t>
      </w:r>
      <w:r>
        <w:rPr>
          <w:lang w:val="en-US"/>
        </w:rPr>
        <w:t xml:space="preserve">、</w:t>
      </w:r>
      <w:r>
        <w:rPr>
          <w:lang w:val="en-US"/>
        </w:rPr>
        <w:t xml:space="preserve">确认</w:t>
      </w:r>
      <w:r>
        <w:t xml:space="preserve">每一个</w:t>
      </w:r>
      <w:r>
        <w:t xml:space="preserve">参数</w:t>
      </w:r>
      <w:r>
        <w:t xml:space="preserve">更改</w:t>
      </w:r>
      <w:r>
        <w:t xml:space="preserve">的</w:t>
      </w:r>
      <w:r>
        <w:t xml:space="preserve">影响</w:t>
      </w:r>
      <w:r>
        <w:rPr>
          <w:lang w:val="en-US"/>
        </w:rPr>
        <w:t xml:space="preserve">、</w:t>
      </w:r>
      <w:r>
        <w:rPr>
          <w:lang w:val="en-US"/>
        </w:rPr>
        <w:t xml:space="preserve">让</w:t>
      </w:r>
      <w:r>
        <w:rPr>
          <w:lang w:val="en-US"/>
        </w:rPr>
        <w:t xml:space="preserve">我们</w:t>
      </w:r>
      <w:r>
        <w:rPr>
          <w:lang w:val="en-US"/>
        </w:rPr>
        <w:t xml:space="preserve">的</w:t>
      </w:r>
      <w:r>
        <w:t xml:space="preserve">数据</w:t>
      </w:r>
      <w:r>
        <w:t xml:space="preserve">更加</w:t>
      </w:r>
      <w:r>
        <w:t xml:space="preserve">安全</w:t>
      </w: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52700" cy="36004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08654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552699" cy="3600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1.00pt;height:283.5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  <mc:AlternateContent>
          <mc:Choice Requires="wpg">
            <w:drawing>
              <wp:inline xmlns:wp="http://schemas.openxmlformats.org/drawingml/2006/wordprocessingDrawing" distT="0" distB="0" distL="0" distR="0">
                <wp:extent cx="2714625" cy="23812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772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714625" cy="2381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13.75pt;height:187.5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注：</w:t>
      </w:r>
      <w:r>
        <w:rPr>
          <w:highlight w:val="none"/>
        </w:rPr>
        <w:t xml:space="preserve">图中</w:t>
      </w:r>
      <w:r>
        <w:rPr>
          <w:highlight w:val="none"/>
        </w:rPr>
        <w:t xml:space="preserve">不同</w:t>
      </w:r>
      <w:r>
        <w:rPr>
          <w:highlight w:val="none"/>
        </w:rPr>
        <w:t xml:space="preserve">的</w:t>
      </w:r>
      <w:r>
        <w:rPr>
          <w:highlight w:val="none"/>
        </w:rPr>
        <w:t xml:space="preserve">颜色</w:t>
      </w:r>
      <w:r>
        <w:rPr>
          <w:highlight w:val="none"/>
        </w:rPr>
        <w:t xml:space="preserve">为</w:t>
      </w:r>
      <w:r>
        <w:rPr>
          <w:highlight w:val="none"/>
        </w:rPr>
        <w:t xml:space="preserve">不同</w:t>
      </w:r>
      <w:r>
        <w:rPr>
          <w:highlight w:val="none"/>
        </w:rPr>
        <w:t xml:space="preserve">的</w:t>
      </w:r>
      <w:r>
        <w:rPr>
          <w:highlight w:val="none"/>
          <w:lang w:val="en-US"/>
        </w:rPr>
        <w:t xml:space="preserve">B</w:t>
      </w:r>
      <w:r>
        <w:rPr>
          <w:highlight w:val="none"/>
        </w:rPr>
        <w:t xml:space="preserve">ranch</w:t>
      </w:r>
      <w:r>
        <w:rPr>
          <w:highlight w:val="none"/>
        </w:rPr>
      </w:r>
      <w:r/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</w:rPr>
        <w:t xml:space="preserve">从</w:t>
      </w:r>
      <w:r>
        <w:rPr>
          <w:highlight w:val="none"/>
        </w:rPr>
        <w:t xml:space="preserve">写完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函数</w:t>
      </w:r>
      <w:r>
        <w:rPr>
          <w:highlight w:val="none"/>
        </w:rPr>
        <w:t xml:space="preserve">到</w:t>
      </w:r>
      <w:r>
        <w:rPr>
          <w:highlight w:val="none"/>
        </w:rPr>
        <w:t xml:space="preserve">现在</w:t>
      </w:r>
      <w:r>
        <w:rPr>
          <w:highlight w:val="none"/>
          <w:lang w:val="en-US"/>
        </w:rPr>
        <w:t xml:space="preserve">，</w:t>
      </w:r>
      <w:r>
        <w:rPr>
          <w:highlight w:val="none"/>
          <w:lang w:val="en-US"/>
        </w:rPr>
        <w:t xml:space="preserve">这是</w:t>
      </w:r>
      <w:r>
        <w:rPr>
          <w:highlight w:val="none"/>
          <w:lang w:val="en-US"/>
        </w:rPr>
        <w:t xml:space="preserve">git diff（</w:t>
      </w:r>
      <w:r>
        <w:rPr>
          <w:highlight w:val="none"/>
          <w:lang w:val="en-US"/>
        </w:rPr>
        <w:t xml:space="preserve">差异</w:t>
      </w:r>
      <w:r>
        <w:rPr>
          <w:highlight w:val="none"/>
          <w:lang w:val="en-US"/>
        </w:rPr>
        <w:t xml:space="preserve">）</w:t>
      </w:r>
      <w:r>
        <w:rPr>
          <w:highlight w:val="none"/>
          <w:lang w:val="en-US"/>
        </w:rPr>
        <w:t xml:space="preserve">的</w:t>
      </w:r>
      <w:r>
        <w:rPr>
          <w:highlight w:val="none"/>
          <w:lang w:val="en-US"/>
        </w:rPr>
        <w:t xml:space="preserve">统计信息</w:t>
      </w:r>
      <w:r/>
    </w:p>
    <w:p>
      <w:pPr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34759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13669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234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84.8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803050406030204"/>
  </w:font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74181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0B627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FF0FB5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44D4FA7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6A485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09000C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E55F9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74181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36A485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FF0FB5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CN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2025-11-03T14:08:39Z</dcterms:modified>
</cp:coreProperties>
</file>