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" w:line="360" w:lineRule="auto"/>
      </w:pPr>
    </w:p>
    <w:p>
      <w:pPr>
        <w:spacing w:after="140" w:line="360" w:lineRule="auto"/>
      </w:pPr>
    </w:p>
    <w:p>
      <w:pPr>
        <w:spacing w:after="140" w:line="360" w:lineRule="auto"/>
      </w:pPr>
    </w:p>
    <w:p>
      <w:pPr>
        <w:spacing w:after="140" w:line="360" w:lineRule="auto"/>
      </w:pPr>
    </w:p>
    <w:p>
      <w:pPr>
        <w:spacing w:after="140" w:line="360" w:lineRule="auto"/>
      </w:pPr>
    </w:p>
    <w:p>
      <w:pPr>
        <w:spacing w:after="140" w:line="360" w:lineRule="auto"/>
      </w:pPr>
    </w:p>
    <w:p>
      <w:pPr>
        <w:spacing w:after="240" w:line="360" w:lineRule="auto"/>
        <w:ind w:firstLine="0"/>
        <w:jc w:val="center"/>
      </w:pPr>
      <w:r>
        <w:rPr>
          <w:rFonts w:ascii="Arial" w:hAnsi="Arial"/>
          <w:b/>
          <w:sz w:val="22"/>
        </w:rPr>
        <w:t>Retrospectiva del Sprint 1</w:t>
      </w:r>
    </w:p>
    <w:p>
      <w:pPr>
        <w:spacing w:after="240" w:line="360" w:lineRule="auto"/>
        <w:ind w:firstLine="0"/>
        <w:jc w:val="center"/>
      </w:pPr>
      <w:r>
        <w:rPr>
          <w:rFonts w:ascii="Arial" w:hAnsi="Arial"/>
          <w:b w:val="0"/>
          <w:sz w:val="22"/>
        </w:rPr>
        <w:t>Proyecto APT: LBWUS – Learn Better With Us</w:t>
      </w:r>
    </w:p>
    <w:p>
      <w:pPr>
        <w:spacing w:after="240" w:line="360" w:lineRule="auto"/>
        <w:ind w:firstLine="0"/>
        <w:jc w:val="center"/>
      </w:pPr>
      <w:r>
        <w:rPr>
          <w:rFonts w:ascii="Arial" w:hAnsi="Arial"/>
          <w:b w:val="0"/>
          <w:sz w:val="22"/>
        </w:rPr>
        <w:t>Benjamín J. Nicovani, Franco E. Sáez y Francheska A. Cisterna</w:t>
      </w:r>
    </w:p>
    <w:p>
      <w:pPr>
        <w:spacing w:after="240" w:line="360" w:lineRule="auto"/>
        <w:ind w:firstLine="0"/>
        <w:jc w:val="center"/>
      </w:pPr>
      <w:r>
        <w:rPr>
          <w:rFonts w:ascii="Arial" w:hAnsi="Arial"/>
          <w:b w:val="0"/>
          <w:sz w:val="22"/>
        </w:rPr>
        <w:t>Escuela de Informática y Telecomunicaciones – Duoc UC, Sede Plaza Norte</w:t>
      </w:r>
    </w:p>
    <w:p>
      <w:pPr>
        <w:spacing w:after="240" w:line="360" w:lineRule="auto"/>
        <w:ind w:firstLine="0"/>
        <w:jc w:val="center"/>
      </w:pPr>
      <w:r>
        <w:rPr>
          <w:rFonts w:ascii="Arial" w:hAnsi="Arial"/>
          <w:b w:val="0"/>
          <w:sz w:val="22"/>
        </w:rPr>
        <w:t>006V: Capstone</w:t>
      </w:r>
    </w:p>
    <w:p>
      <w:pPr>
        <w:spacing w:after="240" w:line="360" w:lineRule="auto"/>
        <w:ind w:firstLine="0"/>
        <w:jc w:val="center"/>
      </w:pPr>
      <w:r>
        <w:rPr>
          <w:rFonts w:ascii="Arial" w:hAnsi="Arial"/>
          <w:b w:val="0"/>
          <w:sz w:val="22"/>
        </w:rPr>
        <w:t>Docente: Álvaro A. Mellado</w:t>
      </w:r>
    </w:p>
    <w:p>
      <w:pPr>
        <w:spacing w:after="240" w:line="360" w:lineRule="auto"/>
        <w:ind w:firstLine="0"/>
        <w:jc w:val="center"/>
      </w:pPr>
      <w:r>
        <w:rPr>
          <w:rFonts w:ascii="Arial" w:hAnsi="Arial"/>
          <w:b w:val="0"/>
          <w:sz w:val="22"/>
        </w:rPr>
        <w:t>13 de octubre de 2026</w:t>
      </w:r>
    </w:p>
    <w:p>
      <w:pPr>
        <w:spacing w:after="240" w:line="360" w:lineRule="auto"/>
        <w:ind w:firstLine="0"/>
        <w:jc w:val="center"/>
      </w:pPr>
      <w:r>
        <w:rPr>
          <w:rFonts w:ascii="Arial" w:hAnsi="Arial"/>
          <w:b w:val="0"/>
          <w:sz w:val="22"/>
        </w:rPr>
        <w:t>Documento de análisis retrospectivo para validación del equipo</w:t>
      </w:r>
    </w:p>
    <w:p>
      <w:pPr>
        <w:spacing w:line="360" w:lineRule="auto"/>
      </w:pPr>
      <w:r>
        <w:rPr>
          <w:rFonts w:ascii="Arial" w:hAnsi="Arial"/>
        </w:rPr>
        <w:br w:type="page"/>
      </w:r>
    </w:p>
    <w:p>
      <w:pPr>
        <w:spacing w:line="360" w:lineRule="auto" w:after="140"/>
        <w:ind w:firstLine="709"/>
        <w:jc w:val="both"/>
      </w:pPr>
      <w:r>
        <w:rPr>
          <w:rFonts w:ascii="Arial" w:hAnsi="Arial"/>
          <w:sz w:val="22"/>
        </w:rPr>
        <w:t>Este análisis preparatorio revisa cómo se organizó y colaboró el equipo durante el Sprint 1, utilizando los resultados verificables de Jira y los archivos existentes en GitHub. Se identifican oportunidades y acciones propuestas para ser discutidas y ratificadas por los tres integrantes; no se presentan como acuerdos de una reunión ya confirmada.</w:t>
      </w:r>
    </w:p>
    <w:p>
      <w:pPr>
        <w:spacing w:line="360" w:lineRule="auto" w:after="140"/>
        <w:ind w:firstLine="709"/>
        <w:jc w:val="both"/>
      </w:pPr>
      <w:r>
        <w:rPr>
          <w:rFonts w:ascii="Arial" w:hAnsi="Arial"/>
          <w:sz w:val="22"/>
        </w:rPr>
        <w:t>La Sprint Retrospective inspecciona personas, interacciones, procesos, herramientas y Definition of Done; es distinta de la Sprint Review, que examina el incremento. Un estado «Finalizado» en Jira no acredita por sí solo la calidad de las pruebas.</w:t>
      </w:r>
    </w:p>
    <w:p>
      <w:pPr>
        <w:pStyle w:val="Heading1"/>
        <w:ind w:firstLine="0"/>
        <w:jc w:val="left"/>
      </w:pPr>
      <w:r>
        <w:rPr>
          <w:rFonts w:ascii="Arial" w:hAnsi="Arial"/>
          <w:sz w:val="22"/>
        </w:rPr>
        <w:t>1. Balance del Sprint 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6236"/>
      </w:tblGrid>
      <w:tr>
        <w:trPr>
          <w:cantSplit/>
          <w:tblHeader w:val="true"/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4" w:color="CCD7DE"/>
              <w:top w:val="single" w:sz="4" w:color="CCD7DE"/>
              <w:left w:val="single" w:sz="4" w:color="CCD7DE"/>
              <w:right w:val="single" w:sz="4" w:color="CCD7DE"/>
            </w:tcBorders>
            <w:shd w:fill="123847"/>
          </w:tcPr>
          <w:p>
            <w:pPr>
              <w:keepNext/>
              <w:spacing w:line="360" w:lineRule="auto" w:before="0" w:after="0"/>
              <w:ind w:firstLine="0"/>
              <w:jc w:val="left"/>
            </w:pPr>
            <w:r>
              <w:rPr>
                <w:rFonts w:ascii="Arial" w:hAnsi="Arial"/>
                <w:b/>
                <w:color w:val="FFFFFF"/>
                <w:sz w:val="22"/>
              </w:rPr>
              <w:t>Dato</w:t>
            </w:r>
          </w:p>
        </w:tc>
        <w:tc>
          <w:tcPr>
            <w:tcW w:type="dxa" w:w="62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4" w:color="CCD7DE"/>
              <w:top w:val="single" w:sz="4" w:color="CCD7DE"/>
              <w:left w:val="single" w:sz="4" w:color="CCD7DE"/>
              <w:right w:val="single" w:sz="4" w:color="CCD7DE"/>
            </w:tcBorders>
            <w:shd w:fill="123847"/>
          </w:tcPr>
          <w:p>
            <w:pPr>
              <w:keepNext/>
              <w:spacing w:line="360" w:lineRule="auto" w:before="0" w:after="0"/>
              <w:ind w:firstLine="0"/>
              <w:jc w:val="left"/>
            </w:pPr>
            <w:r>
              <w:rPr>
                <w:rFonts w:ascii="Arial" w:hAnsi="Arial"/>
                <w:b/>
                <w:color w:val="FFFFFF"/>
                <w:sz w:val="22"/>
              </w:rPr>
              <w:t>Registro verificado</w:t>
            </w:r>
          </w:p>
        </w:tc>
      </w:tr>
      <w:tr>
        <w:trPr>
          <w:cantSplit/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4" w:color="CCD7DE"/>
              <w:top w:val="single" w:sz="4" w:color="CCD7DE"/>
              <w:left w:val="single" w:sz="4" w:color="CCD7DE"/>
              <w:right w:val="single" w:sz="4" w:color="CCD7DE"/>
            </w:tcBorders>
          </w:tcPr>
          <w:p>
            <w:pPr>
              <w:keepNext w:val="0"/>
              <w:spacing w:line="360" w:lineRule="auto" w:before="0" w:after="0"/>
              <w:ind w:firstLine="0"/>
              <w:jc w:val="left"/>
            </w:pPr>
            <w:r>
              <w:rPr>
                <w:rFonts w:ascii="Arial" w:hAnsi="Arial"/>
                <w:b/>
                <w:sz w:val="22"/>
              </w:rPr>
              <w:t>Periodo previsto</w:t>
            </w:r>
          </w:p>
        </w:tc>
        <w:tc>
          <w:tcPr>
            <w:tcW w:type="dxa" w:w="62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4" w:color="CCD7DE"/>
              <w:top w:val="single" w:sz="4" w:color="CCD7DE"/>
              <w:left w:val="single" w:sz="4" w:color="CCD7DE"/>
              <w:right w:val="single" w:sz="4" w:color="CCD7DE"/>
            </w:tcBorders>
          </w:tcPr>
          <w:p>
            <w:pPr>
              <w:keepNext w:val="0"/>
              <w:spacing w:line="360" w:lineRule="auto" w:before="0" w:after="0"/>
              <w:ind w:firstLine="0"/>
              <w:jc w:val="left"/>
            </w:pPr>
            <w:r>
              <w:rPr>
                <w:rFonts w:ascii="Arial" w:hAnsi="Arial"/>
                <w:sz w:val="22"/>
              </w:rPr>
              <w:t>14 al 28 de septiembre de 2026</w:t>
            </w:r>
          </w:p>
        </w:tc>
      </w:tr>
      <w:tr>
        <w:trPr>
          <w:cantSplit/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4" w:color="CCD7DE"/>
              <w:top w:val="single" w:sz="4" w:color="CCD7DE"/>
              <w:left w:val="single" w:sz="4" w:color="CCD7DE"/>
              <w:right w:val="single" w:sz="4" w:color="CCD7DE"/>
            </w:tcBorders>
            <w:shd w:fill="F5F8F9"/>
          </w:tcPr>
          <w:p>
            <w:pPr>
              <w:keepNext w:val="0"/>
              <w:spacing w:line="360" w:lineRule="auto" w:before="0" w:after="0"/>
              <w:ind w:firstLine="0"/>
              <w:jc w:val="left"/>
            </w:pPr>
            <w:r>
              <w:rPr>
                <w:rFonts w:ascii="Arial" w:hAnsi="Arial"/>
                <w:b/>
                <w:sz w:val="22"/>
              </w:rPr>
              <w:t>Cierre en Jira</w:t>
            </w:r>
          </w:p>
        </w:tc>
        <w:tc>
          <w:tcPr>
            <w:tcW w:type="dxa" w:w="62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4" w:color="CCD7DE"/>
              <w:top w:val="single" w:sz="4" w:color="CCD7DE"/>
              <w:left w:val="single" w:sz="4" w:color="CCD7DE"/>
              <w:right w:val="single" w:sz="4" w:color="CCD7DE"/>
            </w:tcBorders>
            <w:shd w:fill="F5F8F9"/>
          </w:tcPr>
          <w:p>
            <w:pPr>
              <w:keepNext w:val="0"/>
              <w:spacing w:line="360" w:lineRule="auto" w:before="0" w:after="0"/>
              <w:ind w:firstLine="0"/>
              <w:jc w:val="left"/>
            </w:pPr>
            <w:r>
              <w:rPr>
                <w:rFonts w:ascii="Arial" w:hAnsi="Arial"/>
                <w:sz w:val="22"/>
              </w:rPr>
              <w:t>3 de octubre de 2026</w:t>
            </w:r>
          </w:p>
        </w:tc>
      </w:tr>
      <w:tr>
        <w:trPr>
          <w:cantSplit/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4" w:color="CCD7DE"/>
              <w:top w:val="single" w:sz="4" w:color="CCD7DE"/>
              <w:left w:val="single" w:sz="4" w:color="CCD7DE"/>
              <w:right w:val="single" w:sz="4" w:color="CCD7DE"/>
            </w:tcBorders>
          </w:tcPr>
          <w:p>
            <w:pPr>
              <w:keepNext w:val="0"/>
              <w:spacing w:line="360" w:lineRule="auto" w:before="0" w:after="0"/>
              <w:ind w:firstLine="0"/>
              <w:jc w:val="left"/>
            </w:pPr>
            <w:r>
              <w:rPr>
                <w:rFonts w:ascii="Arial" w:hAnsi="Arial"/>
                <w:b/>
                <w:sz w:val="22"/>
              </w:rPr>
              <w:t>Resultado</w:t>
            </w:r>
          </w:p>
        </w:tc>
        <w:tc>
          <w:tcPr>
            <w:tcW w:type="dxa" w:w="62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4" w:color="CCD7DE"/>
              <w:top w:val="single" w:sz="4" w:color="CCD7DE"/>
              <w:left w:val="single" w:sz="4" w:color="CCD7DE"/>
              <w:right w:val="single" w:sz="4" w:color="CCD7DE"/>
            </w:tcBorders>
          </w:tcPr>
          <w:p>
            <w:pPr>
              <w:keepNext w:val="0"/>
              <w:spacing w:line="360" w:lineRule="auto"/>
              <w:ind w:firstLine="0"/>
              <w:jc w:val="left"/>
            </w:pPr>
            <w:r>
              <w:rPr>
                <w:rFonts w:ascii="Arial" w:hAnsi="Arial"/>
                <w:sz w:val="22"/>
              </w:rPr>
              <w:t>16 de 16 tareas finalizadas (100 %; Sprint Goal no registrado en Jira)</w:t>
            </w:r>
          </w:p>
        </w:tc>
      </w:tr>
      <w:tr>
        <w:trPr>
          <w:cantSplit/>
          <w:cantSplit/>
        </w:trPr>
        <w:tc>
          <w:tcPr>
            <w:tcW w:type="dxa" w:w="23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4" w:color="CCD7DE"/>
              <w:top w:val="single" w:sz="4" w:color="CCD7DE"/>
              <w:left w:val="single" w:sz="4" w:color="CCD7DE"/>
              <w:right w:val="single" w:sz="4" w:color="CCD7DE"/>
            </w:tcBorders>
            <w:shd w:fill="F5F8F9"/>
          </w:tcPr>
          <w:p>
            <w:pPr>
              <w:keepNext w:val="0"/>
              <w:spacing w:line="360" w:lineRule="auto" w:before="0" w:after="0"/>
              <w:ind w:firstLine="0"/>
              <w:jc w:val="left"/>
            </w:pPr>
            <w:r>
              <w:rPr>
                <w:rFonts w:ascii="Arial" w:hAnsi="Arial"/>
                <w:b/>
                <w:sz w:val="22"/>
              </w:rPr>
              <w:t>Organización</w:t>
            </w:r>
          </w:p>
        </w:tc>
        <w:tc>
          <w:tcPr>
            <w:tcW w:type="dxa" w:w="62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4" w:color="CCD7DE"/>
              <w:top w:val="single" w:sz="4" w:color="CCD7DE"/>
              <w:left w:val="single" w:sz="4" w:color="CCD7DE"/>
              <w:right w:val="single" w:sz="4" w:color="CCD7DE"/>
            </w:tcBorders>
            <w:shd w:fill="F5F8F9"/>
          </w:tcPr>
          <w:p>
            <w:pPr>
              <w:keepNext w:val="0"/>
              <w:spacing w:line="360" w:lineRule="auto" w:before="0" w:after="0"/>
              <w:ind w:firstLine="0"/>
              <w:jc w:val="left"/>
            </w:pPr>
            <w:r>
              <w:rPr>
                <w:rFonts w:ascii="Arial" w:hAnsi="Arial"/>
                <w:sz w:val="22"/>
              </w:rPr>
              <w:t>Épica SCRUM-77: fundamentos técnicos, acceso y seguridad</w:t>
            </w:r>
          </w:p>
        </w:tc>
      </w:tr>
    </w:tbl>
    <w:p>
      <w:pPr>
        <w:spacing w:after="0" w:line="360" w:lineRule="auto"/>
      </w:pPr>
    </w:p>
    <w:p>
      <w:pPr>
        <w:spacing w:line="360" w:lineRule="auto" w:after="140"/>
        <w:ind w:firstLine="709"/>
        <w:jc w:val="both"/>
      </w:pPr>
      <w:r>
        <w:rPr>
          <w:rFonts w:ascii="Arial" w:hAnsi="Arial"/>
          <w:sz w:val="22"/>
        </w:rPr>
        <w:t>En Jira se registraron 16 tareas finalizadas: seis asignadas a Francheska, cinco a Franco y cinco a Benjamín. El trabajo comprendió interfaces y navegación, autenticación, permisos, modelos y configuración. Este reparto muestra responsabilidades registradas, pero no mide por sí mismo la colaboración ni la calidad del incremento.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6151"/>
      </w:tblGrid>
      <w:tr>
        <w:trPr>
          <w:cantSplit/>
          <w:tblHeader w:val="true"/>
          <w:cantSplit/>
        </w:trPr>
        <w:tc>
          <w:tcPr>
            <w:tcW w:type="dxa" w:w="240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4" w:color="CCD7DE"/>
              <w:top w:val="single" w:sz="4" w:color="CCD7DE"/>
              <w:left w:val="single" w:sz="4" w:color="CCD7DE"/>
              <w:right w:val="single" w:sz="4" w:color="CCD7DE"/>
            </w:tcBorders>
            <w:shd w:fill="123847"/>
          </w:tcPr>
          <w:p>
            <w:pPr>
              <w:keepNext/>
              <w:spacing w:line="360" w:lineRule="auto" w:before="0" w:after="0"/>
              <w:ind w:firstLine="0"/>
              <w:jc w:val="left"/>
            </w:pPr>
            <w:r>
              <w:rPr>
                <w:rFonts w:ascii="Arial" w:hAnsi="Arial"/>
                <w:b/>
                <w:color w:val="FFFFFF"/>
                <w:sz w:val="22"/>
              </w:rPr>
              <w:t>Dimensión analizada</w:t>
            </w:r>
          </w:p>
        </w:tc>
        <w:tc>
          <w:tcPr>
            <w:tcW w:type="dxa" w:w="615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4" w:color="CCD7DE"/>
              <w:top w:val="single" w:sz="4" w:color="CCD7DE"/>
              <w:left w:val="single" w:sz="4" w:color="CCD7DE"/>
              <w:right w:val="single" w:sz="4" w:color="CCD7DE"/>
            </w:tcBorders>
            <w:shd w:fill="123847"/>
          </w:tcPr>
          <w:p>
            <w:pPr>
              <w:keepNext/>
              <w:spacing w:line="360" w:lineRule="auto" w:before="0" w:after="0"/>
              <w:ind w:firstLine="0"/>
              <w:jc w:val="left"/>
            </w:pPr>
            <w:r>
              <w:rPr>
                <w:rFonts w:ascii="Arial" w:hAnsi="Arial"/>
                <w:b/>
                <w:color w:val="FFFFFF"/>
                <w:sz w:val="22"/>
              </w:rPr>
              <w:t>Observaciones para conversación del equipo</w:t>
            </w:r>
          </w:p>
        </w:tc>
      </w:tr>
      <w:tr>
        <w:trPr>
          <w:cantSplit/>
          <w:cantSplit/>
        </w:trPr>
        <w:tc>
          <w:tcPr>
            <w:tcW w:type="dxa" w:w="240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4" w:color="CCD7DE"/>
              <w:top w:val="single" w:sz="4" w:color="CCD7DE"/>
              <w:left w:val="single" w:sz="4" w:color="CCD7DE"/>
              <w:right w:val="single" w:sz="4" w:color="CCD7DE"/>
            </w:tcBorders>
          </w:tcPr>
          <w:p>
            <w:pPr>
              <w:keepNext w:val="0"/>
              <w:spacing w:line="360" w:lineRule="auto" w:before="0" w:after="0"/>
              <w:ind w:firstLine="0"/>
              <w:jc w:val="left"/>
            </w:pPr>
            <w:r>
              <w:rPr>
                <w:rFonts w:ascii="Arial" w:hAnsi="Arial"/>
                <w:b/>
                <w:sz w:val="22"/>
              </w:rPr>
              <w:t>Aspectos favorables</w:t>
            </w:r>
          </w:p>
        </w:tc>
        <w:tc>
          <w:tcPr>
            <w:tcW w:type="dxa" w:w="615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4" w:color="CCD7DE"/>
              <w:top w:val="single" w:sz="4" w:color="CCD7DE"/>
              <w:left w:val="single" w:sz="4" w:color="CCD7DE"/>
              <w:right w:val="single" w:sz="4" w:color="CCD7DE"/>
            </w:tcBorders>
          </w:tcPr>
          <w:p>
            <w:pPr>
              <w:keepNext w:val="0"/>
              <w:spacing w:line="360" w:lineRule="auto" w:before="0" w:after="0"/>
              <w:ind w:firstLine="0"/>
              <w:jc w:val="left"/>
            </w:pPr>
            <w:r>
              <w:rPr>
                <w:rFonts w:ascii="Arial" w:hAnsi="Arial"/>
                <w:sz w:val="22"/>
              </w:rPr>
              <w:t>El tablero Jira permitió visualizar responsables y estados hasta cerrar 16/16 tareas. GitHub ofreció una base común de código; el trabajo abarcó áreas complementarias de interfaz, backend, seguridad y datos.</w:t>
            </w:r>
          </w:p>
        </w:tc>
      </w:tr>
      <w:tr>
        <w:trPr>
          <w:cantSplit/>
          <w:cantSplit/>
        </w:trPr>
        <w:tc>
          <w:tcPr>
            <w:tcW w:type="dxa" w:w="240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4" w:color="CCD7DE"/>
              <w:top w:val="single" w:sz="4" w:color="CCD7DE"/>
              <w:left w:val="single" w:sz="4" w:color="CCD7DE"/>
              <w:right w:val="single" w:sz="4" w:color="CCD7DE"/>
            </w:tcBorders>
            <w:shd w:fill="F5F8F9"/>
          </w:tcPr>
          <w:p>
            <w:pPr>
              <w:keepNext w:val="0"/>
              <w:spacing w:line="360" w:lineRule="auto" w:before="0" w:after="0"/>
              <w:ind w:firstLine="0"/>
              <w:jc w:val="left"/>
            </w:pPr>
            <w:r>
              <w:rPr>
                <w:rFonts w:ascii="Arial" w:hAnsi="Arial"/>
                <w:b/>
                <w:sz w:val="22"/>
              </w:rPr>
              <w:t>Trabajo colaborativo y comunicación</w:t>
            </w:r>
          </w:p>
        </w:tc>
        <w:tc>
          <w:tcPr>
            <w:tcW w:type="dxa" w:w="615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4" w:color="CCD7DE"/>
              <w:top w:val="single" w:sz="4" w:color="CCD7DE"/>
              <w:left w:val="single" w:sz="4" w:color="CCD7DE"/>
              <w:right w:val="single" w:sz="4" w:color="CCD7DE"/>
            </w:tcBorders>
            <w:shd w:fill="F5F8F9"/>
          </w:tcPr>
          <w:p>
            <w:pPr>
              <w:keepNext w:val="0"/>
              <w:spacing w:line="360" w:lineRule="auto" w:before="0" w:after="0"/>
              <w:ind w:firstLine="0"/>
              <w:jc w:val="left"/>
            </w:pPr>
            <w:r>
              <w:rPr>
                <w:rFonts w:ascii="Arial" w:hAnsi="Arial"/>
                <w:sz w:val="22"/>
              </w:rPr>
              <w:t>Conviene revisar cómo se comunicaron las dependencias entre cambios de rutas, permisos y perfiles, y si las revisiones cruzadas evitaron inconsistencias. La asignación por persona no debe convertir las áreas técnicas en silos.</w:t>
            </w:r>
          </w:p>
        </w:tc>
      </w:tr>
      <w:tr>
        <w:trPr>
          <w:cantSplit/>
          <w:cantSplit/>
        </w:trPr>
        <w:tc>
          <w:tcPr>
            <w:tcW w:type="dxa" w:w="240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4" w:color="CCD7DE"/>
              <w:top w:val="single" w:sz="4" w:color="CCD7DE"/>
              <w:left w:val="single" w:sz="4" w:color="CCD7DE"/>
              <w:right w:val="single" w:sz="4" w:color="CCD7DE"/>
            </w:tcBorders>
          </w:tcPr>
          <w:p>
            <w:pPr>
              <w:keepNext w:val="0"/>
              <w:spacing w:line="360" w:lineRule="auto" w:before="0" w:after="0"/>
              <w:ind w:firstLine="0"/>
              <w:jc w:val="left"/>
            </w:pPr>
            <w:r>
              <w:rPr>
                <w:rFonts w:ascii="Arial" w:hAnsi="Arial"/>
                <w:b/>
                <w:sz w:val="22"/>
              </w:rPr>
              <w:t>Calidad y trazabilidad</w:t>
            </w:r>
          </w:p>
        </w:tc>
        <w:tc>
          <w:tcPr>
            <w:tcW w:type="dxa" w:w="615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4" w:color="CCD7DE"/>
              <w:top w:val="single" w:sz="4" w:color="CCD7DE"/>
              <w:left w:val="single" w:sz="4" w:color="CCD7DE"/>
              <w:right w:val="single" w:sz="4" w:color="CCD7DE"/>
            </w:tcBorders>
          </w:tcPr>
          <w:p>
            <w:pPr>
              <w:keepNext w:val="0"/>
              <w:spacing w:line="360" w:lineRule="auto" w:before="0" w:after="0"/>
              <w:ind w:firstLine="0"/>
              <w:jc w:val="left"/>
            </w:pPr>
            <w:r>
              <w:rPr>
                <w:rFonts w:ascii="Arial" w:hAnsi="Arial"/>
                <w:sz w:val="22"/>
              </w:rPr>
              <w:t>Hay archivos y actividades identificables, pero no toda tarea finalizada tiene en un mismo lugar referencias verificables a código, revisión y resultados de prueba. Debe distinguirse avance en Jira del cumplimiento del Definition of Done.</w:t>
            </w:r>
          </w:p>
        </w:tc>
      </w:tr>
      <w:tr>
        <w:trPr>
          <w:cantSplit/>
          <w:cantSplit/>
        </w:trPr>
        <w:tc>
          <w:tcPr>
            <w:tcW w:type="dxa" w:w="240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4" w:color="CCD7DE"/>
              <w:top w:val="single" w:sz="4" w:color="CCD7DE"/>
              <w:left w:val="single" w:sz="4" w:color="CCD7DE"/>
              <w:right w:val="single" w:sz="4" w:color="CCD7DE"/>
            </w:tcBorders>
          </w:tcPr>
          <w:p>
            <w:pPr>
              <w:keepNext w:val="0"/>
              <w:spacing w:line="360" w:lineRule="auto" w:before="0" w:after="0"/>
              <w:ind w:firstLine="0"/>
              <w:jc w:val="left"/>
            </w:pPr>
            <w:r>
              <w:rPr>
                <w:rFonts w:ascii="Arial" w:hAnsi="Arial"/>
                <w:b/>
                <w:sz w:val="22"/>
              </w:rPr>
              <w:t>Mejora continua</w:t>
            </w:r>
          </w:p>
        </w:tc>
        <w:tc>
          <w:tcPr>
            <w:tcW w:type="dxa" w:w="615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4" w:color="CCD7DE"/>
              <w:top w:val="single" w:sz="4" w:color="CCD7DE"/>
              <w:left w:val="single" w:sz="4" w:color="CCD7DE"/>
              <w:right w:val="single" w:sz="4" w:color="CCD7DE"/>
            </w:tcBorders>
          </w:tcPr>
          <w:p>
            <w:pPr>
              <w:keepNext w:val="0"/>
              <w:spacing w:line="360" w:lineRule="auto" w:before="0" w:after="0"/>
              <w:ind w:firstLine="0"/>
              <w:jc w:val="left"/>
            </w:pPr>
            <w:r>
              <w:rPr>
                <w:rFonts w:ascii="Arial" w:hAnsi="Arial"/>
                <w:sz w:val="22"/>
              </w:rPr>
              <w:t>Establecer una comprobación breve de impedimentos, revisiones cruzadas y evidencias al cierre de cada elemento; registrar en acta qué se ajustará, quién lo comprobará y cuándo.</w:t>
            </w:r>
          </w:p>
        </w:tc>
      </w:tr>
    </w:tbl>
    <w:p>
      <w:pPr>
        <w:spacing w:after="0" w:line="360" w:lineRule="auto"/>
      </w:pPr>
    </w:p>
    <w:p>
      <w:pPr>
        <w:pStyle w:val="Heading1"/>
        <w:pageBreakBefore w:val="0"/>
        <w:ind w:firstLine="0"/>
        <w:jc w:val="left"/>
      </w:pPr>
      <w:r>
        <w:rPr>
          <w:rFonts w:ascii="Arial" w:hAnsi="Arial"/>
          <w:sz w:val="22"/>
        </w:rPr>
        <w:t>2. Acciones y validación</w:t>
      </w:r>
    </w:p>
    <w:p>
      <w:pPr>
        <w:spacing w:line="360" w:lineRule="auto" w:after="140"/>
        <w:ind w:firstLine="709"/>
        <w:jc w:val="both"/>
      </w:pPr>
      <w:r>
        <w:rPr>
          <w:rFonts w:ascii="Arial" w:hAnsi="Arial"/>
          <w:sz w:val="22"/>
        </w:rPr>
        <w:t>Las actividades siguientes están registradas como finalizadas en el Sprint 2 y se relacionan con áreas a mejorar. Su cierre constituye evidencia de seguimiento administrativo, pero es necesario revisar los entregables y la ejecución de pruebas antes de considerar cumplido el DoD. Las acciones de esta matriz son propuestas para validar con el equipo.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6151"/>
      </w:tblGrid>
      <w:tr>
        <w:trPr>
          <w:cantSplit/>
          <w:tblHeader w:val="true"/>
          <w:cantSplit/>
        </w:trPr>
        <w:tc>
          <w:tcPr>
            <w:tcW w:type="dxa" w:w="240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4" w:color="CCD7DE"/>
              <w:top w:val="single" w:sz="4" w:color="CCD7DE"/>
              <w:left w:val="single" w:sz="4" w:color="CCD7DE"/>
              <w:right w:val="single" w:sz="4" w:color="CCD7DE"/>
            </w:tcBorders>
            <w:shd w:fill="123847"/>
          </w:tcPr>
          <w:p>
            <w:pPr>
              <w:keepNext/>
              <w:spacing w:line="360" w:lineRule="auto" w:after="0" w:before="0"/>
              <w:jc w:val="left"/>
            </w:pPr>
            <w:r>
              <w:rPr>
                <w:rFonts w:ascii="Arial" w:hAnsi="Arial"/>
                <w:b/>
                <w:color w:val="FFFFFF"/>
                <w:sz w:val="22"/>
              </w:rPr>
              <w:t>Acción de mejora propuesta</w:t>
            </w:r>
          </w:p>
        </w:tc>
        <w:tc>
          <w:tcPr>
            <w:tcW w:type="dxa" w:w="615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4" w:color="CCD7DE"/>
              <w:top w:val="single" w:sz="4" w:color="CCD7DE"/>
              <w:left w:val="single" w:sz="4" w:color="CCD7DE"/>
              <w:right w:val="single" w:sz="4" w:color="CCD7DE"/>
            </w:tcBorders>
            <w:shd w:fill="123847"/>
          </w:tcPr>
          <w:p>
            <w:pPr>
              <w:keepNext/>
              <w:spacing w:line="360" w:lineRule="auto" w:after="0" w:before="0"/>
              <w:jc w:val="left"/>
            </w:pPr>
            <w:r>
              <w:rPr>
                <w:rFonts w:ascii="Arial" w:hAnsi="Arial"/>
                <w:b/>
                <w:color w:val="FFFFFF"/>
                <w:sz w:val="22"/>
              </w:rPr>
              <w:t>Responsables sugeridos y comprobación</w:t>
            </w:r>
          </w:p>
        </w:tc>
      </w:tr>
      <w:tr>
        <w:trPr>
          <w:cantSplit/>
          <w:cantSplit/>
        </w:trPr>
        <w:tc>
          <w:tcPr>
            <w:tcW w:type="dxa" w:w="240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4" w:color="CCD7DE"/>
              <w:top w:val="single" w:sz="4" w:color="CCD7DE"/>
              <w:left w:val="single" w:sz="4" w:color="CCD7DE"/>
              <w:right w:val="single" w:sz="4" w:color="CCD7DE"/>
            </w:tcBorders>
          </w:tcPr>
          <w:p>
            <w:pPr>
              <w:keepNext w:val="0"/>
              <w:spacing w:line="360" w:lineRule="auto" w:after="0" w:before="0"/>
              <w:jc w:val="left"/>
            </w:pPr>
            <w:r>
              <w:rPr>
                <w:rFonts w:ascii="Arial" w:hAnsi="Arial"/>
                <w:b/>
                <w:sz w:val="22"/>
              </w:rPr>
              <w:t>Evidencias vinculadas a tareas</w:t>
            </w:r>
          </w:p>
        </w:tc>
        <w:tc>
          <w:tcPr>
            <w:tcW w:type="dxa" w:w="615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4" w:color="CCD7DE"/>
              <w:top w:val="single" w:sz="4" w:color="CCD7DE"/>
              <w:left w:val="single" w:sz="4" w:color="CCD7DE"/>
              <w:right w:val="single" w:sz="4" w:color="CCD7DE"/>
            </w:tcBorders>
          </w:tcPr>
          <w:p>
            <w:pPr>
              <w:keepNext w:val="0"/>
              <w:spacing w:line="360" w:lineRule="auto" w:after="0" w:before="0"/>
              <w:jc w:val="left"/>
            </w:pPr>
            <w:r>
              <w:rPr>
                <w:rFonts w:ascii="Arial" w:hAnsi="Arial"/>
                <w:b w:val="0"/>
                <w:sz w:val="22"/>
              </w:rPr>
              <w:t>Propuesta: adjuntar a cada tarea relevante su commit/PR, documento o captura y, cuando corresponda, resultado de pruebas. Seguimiento: Francheska facilita la revisión; los tres aportan evidencias. Verificación: muestreo de tareas cerradas al final del Sprint siguiente.</w:t>
            </w:r>
          </w:p>
        </w:tc>
      </w:tr>
      <w:tr>
        <w:trPr>
          <w:cantSplit/>
          <w:cantSplit/>
        </w:trPr>
        <w:tc>
          <w:tcPr>
            <w:tcW w:type="dxa" w:w="240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4" w:color="CCD7DE"/>
              <w:top w:val="single" w:sz="4" w:color="CCD7DE"/>
              <w:left w:val="single" w:sz="4" w:color="CCD7DE"/>
              <w:right w:val="single" w:sz="4" w:color="CCD7DE"/>
            </w:tcBorders>
            <w:shd w:fill="F5F8F9"/>
          </w:tcPr>
          <w:p>
            <w:pPr>
              <w:keepNext w:val="0"/>
              <w:spacing w:line="360" w:lineRule="auto" w:after="0" w:before="0"/>
              <w:jc w:val="left"/>
            </w:pPr>
            <w:r>
              <w:rPr>
                <w:rFonts w:ascii="Arial" w:hAnsi="Arial"/>
                <w:b/>
                <w:sz w:val="22"/>
              </w:rPr>
              <w:t>Revisión cruzada de integración</w:t>
            </w:r>
          </w:p>
        </w:tc>
        <w:tc>
          <w:tcPr>
            <w:tcW w:type="dxa" w:w="615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4" w:color="CCD7DE"/>
              <w:top w:val="single" w:sz="4" w:color="CCD7DE"/>
              <w:left w:val="single" w:sz="4" w:color="CCD7DE"/>
              <w:right w:val="single" w:sz="4" w:color="CCD7DE"/>
            </w:tcBorders>
            <w:shd w:fill="F5F8F9"/>
          </w:tcPr>
          <w:p>
            <w:pPr>
              <w:keepNext w:val="0"/>
              <w:spacing w:line="360" w:lineRule="auto" w:after="0" w:before="0"/>
              <w:jc w:val="left"/>
            </w:pPr>
            <w:r>
              <w:rPr>
                <w:rFonts w:ascii="Arial" w:hAnsi="Arial"/>
                <w:b w:val="0"/>
                <w:sz w:val="22"/>
              </w:rPr>
              <w:t>Propuesta: revisar conjuntamente cambios en roles, rutas y CRUD antes de declarar terminada una funcionalidad. Continuidad documentada: SCRUM-27/28/49/51 figuran finalizadas en Sprint 2. Verificación: cambios versionados y resultados reales de pruebas, no solo estado en Jira.</w:t>
            </w:r>
          </w:p>
        </w:tc>
      </w:tr>
      <w:tr>
        <w:trPr>
          <w:cantSplit/>
          <w:cantSplit/>
        </w:trPr>
        <w:tc>
          <w:tcPr>
            <w:tcW w:type="dxa" w:w="240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4" w:color="CCD7DE"/>
              <w:top w:val="single" w:sz="4" w:color="CCD7DE"/>
              <w:left w:val="single" w:sz="4" w:color="CCD7DE"/>
              <w:right w:val="single" w:sz="4" w:color="CCD7DE"/>
            </w:tcBorders>
          </w:tcPr>
          <w:p>
            <w:pPr>
              <w:keepNext w:val="0"/>
              <w:spacing w:line="360" w:lineRule="auto" w:after="0" w:before="0"/>
              <w:jc w:val="left"/>
            </w:pPr>
            <w:r>
              <w:rPr>
                <w:rFonts w:ascii="Arial" w:hAnsi="Arial"/>
                <w:b/>
                <w:sz w:val="22"/>
              </w:rPr>
              <w:t>Acuerdos y transparencia</w:t>
            </w:r>
          </w:p>
        </w:tc>
        <w:tc>
          <w:tcPr>
            <w:tcW w:type="dxa" w:w="615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tcBorders>
              <w:bottom w:val="single" w:sz="4" w:color="CCD7DE"/>
              <w:top w:val="single" w:sz="4" w:color="CCD7DE"/>
              <w:left w:val="single" w:sz="4" w:color="CCD7DE"/>
              <w:right w:val="single" w:sz="4" w:color="CCD7DE"/>
            </w:tcBorders>
          </w:tcPr>
          <w:p>
            <w:pPr>
              <w:keepNext w:val="0"/>
              <w:spacing w:line="360" w:lineRule="auto" w:after="0" w:before="0"/>
              <w:jc w:val="left"/>
            </w:pPr>
            <w:r>
              <w:rPr>
                <w:rFonts w:ascii="Arial" w:hAnsi="Arial"/>
                <w:b w:val="0"/>
                <w:sz w:val="22"/>
              </w:rPr>
              <w:t>Propuesta: dejar por escrito objetivo del Sprint, impedimentos relevantes, decisiones y una mejora prioritaria de la retrospectiva. Seguimiento: equipo completo; facilitación de Scrum Master. Verificación: acta ratificada con fecha, participantes y responsables.</w:t>
            </w:r>
          </w:p>
        </w:tc>
      </w:tr>
    </w:tbl>
    <w:p>
      <w:pPr>
        <w:spacing w:line="360" w:lineRule="auto" w:after="40" w:before="40"/>
        <w:ind w:firstLine="0"/>
        <w:jc w:val="left"/>
      </w:pPr>
      <w:r>
        <w:rPr>
          <w:rFonts w:ascii="Arial" w:hAnsi="Arial"/>
          <w:b w:val="0"/>
          <w:sz w:val="22"/>
        </w:rPr>
        <w:t>VALIDACIÓN DEL EQUIPO (pendiente): fecha y modalidad de la retrospectiva: __________  |  participantes: __________  |  acciones acordadas y responsables: __________  |  próxima comprobación: __________. Hasta registrar esta información, el documento no acredita una reunión realizada.</w:t>
      </w:r>
      <w:r>
        <w:rPr>
          <w:rFonts w:ascii="Arial" w:hAnsi="Arial"/>
          <w:b w:val="0"/>
          <w:sz w:val="22"/>
        </w:rPr>
      </w:r>
    </w:p>
    <w:p>
      <w:pPr>
        <w:spacing w:after="0" w:line="360" w:lineRule="auto"/>
      </w:pPr>
    </w:p>
    <w:p>
      <w:pPr>
        <w:spacing w:line="360" w:lineRule="auto" w:after="40" w:before="40"/>
        <w:ind w:firstLine="0"/>
        <w:jc w:val="left"/>
      </w:pPr>
      <w:r>
        <w:rPr>
          <w:rFonts w:ascii="Arial" w:hAnsi="Arial"/>
          <w:b w:val="0"/>
          <w:sz w:val="22"/>
        </w:rPr>
        <w:t>Fuentes de verificación: Jira LBWUS (Sprints y tareas citadas); repositorio github.com/Haekz/Capstone; Scrum Guide (Schwaber y Sutherland, 2020).</w:t>
      </w:r>
      <w:r>
        <w:rPr>
          <w:rFonts w:ascii="Arial" w:hAnsi="Arial"/>
          <w:b w:val="0"/>
          <w:sz w:val="2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502" w:right="1644" w:bottom="1191" w:left="1701" w:header="454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jc w:val="cen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8504" w:val="right"/>
      </w:tabs>
      <w:spacing w:after="0" w:line="240" w:lineRule="auto"/>
      <w:jc w:val="left"/>
    </w:pPr>
    <w:r>
      <w:drawing>
        <wp:inline xmlns:a="http://schemas.openxmlformats.org/drawingml/2006/main" xmlns:pic="http://schemas.openxmlformats.org/drawingml/2006/picture">
          <wp:extent cx="972000" cy="2104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72000" cy="210497"/>
                  </a:xfrm>
                  <a:prstGeom prst="rect"/>
                </pic:spPr>
              </pic:pic>
            </a:graphicData>
          </a:graphic>
        </wp:inline>
      </w:drawing>
    </w:r>
    <w:r>
      <w:tab/>
    </w:r>
    <w:r>
      <w:rPr>
        <w:rFonts w:ascii="Arial" w:hAnsi="Arial"/>
        <w:color w:val="202A31"/>
        <w:sz w:val="22"/>
      </w:rPr>
    </w:r>
    <w:fldSimple w:instr="PAGE"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40"/>
      <w:ind w:firstLine="709"/>
    </w:pPr>
    <w:rPr>
      <w:rFonts w:ascii="Arial" w:hAnsi="Arial"/>
      <w:color w:val="202A3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 w:line="360" w:lineRule="auto"/>
      <w:ind w:firstLine="0"/>
      <w:outlineLvl w:val="0"/>
    </w:pPr>
    <w:rPr>
      <w:rFonts w:asciiTheme="majorHAnsi" w:eastAsiaTheme="majorEastAsia" w:hAnsiTheme="majorHAnsi" w:cstheme="majorBidi" w:ascii="Arial" w:hAnsi="Arial"/>
      <w:b/>
      <w:bCs/>
      <w:color w:val="24546A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 w:line="360" w:lineRule="auto"/>
      <w:ind w:firstLine="0"/>
      <w:outlineLvl w:val="1"/>
    </w:pPr>
    <w:rPr>
      <w:rFonts w:asciiTheme="majorHAnsi" w:eastAsiaTheme="majorEastAsia" w:hAnsiTheme="majorHAnsi" w:cstheme="majorBidi" w:ascii="Arial" w:hAnsi="Arial"/>
      <w:b/>
      <w:bCs/>
      <w:color w:val="24546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20" w:line="360" w:lineRule="auto"/>
      <w:ind w:firstLine="0"/>
      <w:outlineLvl w:val="2"/>
    </w:pPr>
    <w:rPr>
      <w:rFonts w:asciiTheme="majorHAnsi" w:eastAsiaTheme="majorEastAsia" w:hAnsiTheme="majorHAnsi" w:cstheme="majorBidi" w:ascii="Arial" w:hAnsi="Arial"/>
      <w:b/>
      <w:bCs/>
      <w:color w:val="24546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Label">
    <w:name w:val="Meta Label"/>
    <w:basedOn w:val="Normal"/>
    <w:pPr>
      <w:spacing w:line="276" w:lineRule="auto" w:after="80"/>
      <w:ind w:firstLine="0"/>
    </w:pPr>
    <w:rPr>
      <w:rFonts w:ascii="Arial" w:hAnsi="Arial"/>
      <w:b/>
      <w:color w:val="24546A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Retrospectiva del Sprint 1 – LBWUS</dc:title>
  <dc:subject>Documento individual de retrospectiva para revisión del equipo</dc:subject>
  <dc:creator>Equipo LBWUS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