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line="360" w:lineRule="auto"/>
      </w:pPr>
    </w:p>
    <w:p>
      <w:pPr>
        <w:spacing w:after="140" w:line="360" w:lineRule="auto"/>
      </w:pPr>
    </w:p>
    <w:p>
      <w:pPr>
        <w:spacing w:after="140" w:line="360" w:lineRule="auto"/>
      </w:pPr>
    </w:p>
    <w:p>
      <w:pPr>
        <w:spacing w:after="140" w:line="360" w:lineRule="auto"/>
      </w:pPr>
    </w:p>
    <w:p>
      <w:pPr>
        <w:spacing w:after="140" w:line="360" w:lineRule="auto"/>
      </w:pPr>
    </w:p>
    <w:p>
      <w:pPr>
        <w:spacing w:after="140" w:line="360" w:lineRule="auto"/>
      </w:pPr>
    </w:p>
    <w:p>
      <w:pPr>
        <w:spacing w:after="240" w:line="360" w:lineRule="auto"/>
        <w:ind w:firstLine="0"/>
        <w:jc w:val="center"/>
      </w:pPr>
      <w:r>
        <w:rPr>
          <w:rFonts w:ascii="Arial" w:hAnsi="Arial"/>
          <w:b/>
          <w:sz w:val="22"/>
        </w:rPr>
        <w:t>Retrospectiva del Sprint 2</w:t>
      </w:r>
    </w:p>
    <w:p>
      <w:pPr>
        <w:spacing w:after="240" w:line="360" w:lineRule="auto"/>
        <w:ind w:firstLine="0"/>
        <w:jc w:val="center"/>
      </w:pPr>
      <w:r>
        <w:rPr>
          <w:rFonts w:ascii="Arial" w:hAnsi="Arial"/>
          <w:b w:val="0"/>
          <w:sz w:val="22"/>
        </w:rPr>
        <w:t>Proyecto APT: LBWUS – Learn Better With Us</w:t>
      </w:r>
    </w:p>
    <w:p>
      <w:pPr>
        <w:spacing w:after="240" w:line="360" w:lineRule="auto"/>
        <w:ind w:firstLine="0"/>
        <w:jc w:val="center"/>
      </w:pPr>
      <w:r>
        <w:rPr>
          <w:rFonts w:ascii="Arial" w:hAnsi="Arial"/>
          <w:b w:val="0"/>
          <w:sz w:val="22"/>
        </w:rPr>
        <w:t>Benjamín J. Nicovani, Franco E. Sáez y Francheska A. Cisterna</w:t>
      </w:r>
    </w:p>
    <w:p>
      <w:pPr>
        <w:spacing w:after="240" w:line="360" w:lineRule="auto"/>
        <w:ind w:firstLine="0"/>
        <w:jc w:val="center"/>
      </w:pPr>
      <w:r>
        <w:rPr>
          <w:rFonts w:ascii="Arial" w:hAnsi="Arial"/>
          <w:b w:val="0"/>
          <w:sz w:val="22"/>
        </w:rPr>
        <w:t>Escuela de Informática y Telecomunicaciones – Duoc UC, Sede Plaza Norte</w:t>
      </w:r>
    </w:p>
    <w:p>
      <w:pPr>
        <w:spacing w:after="240" w:line="360" w:lineRule="auto"/>
        <w:ind w:firstLine="0"/>
        <w:jc w:val="center"/>
      </w:pPr>
      <w:r>
        <w:rPr>
          <w:rFonts w:ascii="Arial" w:hAnsi="Arial"/>
          <w:b w:val="0"/>
          <w:sz w:val="22"/>
        </w:rPr>
        <w:t>006V: Capstone</w:t>
      </w:r>
    </w:p>
    <w:p>
      <w:pPr>
        <w:spacing w:after="240" w:line="360" w:lineRule="auto"/>
        <w:ind w:firstLine="0"/>
        <w:jc w:val="center"/>
      </w:pPr>
      <w:r>
        <w:rPr>
          <w:rFonts w:ascii="Arial" w:hAnsi="Arial"/>
          <w:b w:val="0"/>
          <w:sz w:val="22"/>
        </w:rPr>
        <w:t>Docente: Álvaro A. Mellado</w:t>
      </w:r>
    </w:p>
    <w:p>
      <w:pPr>
        <w:spacing w:after="240" w:line="360" w:lineRule="auto"/>
        <w:ind w:firstLine="0"/>
        <w:jc w:val="center"/>
      </w:pPr>
      <w:r>
        <w:rPr>
          <w:rFonts w:ascii="Arial" w:hAnsi="Arial"/>
          <w:b w:val="0"/>
          <w:sz w:val="22"/>
        </w:rPr>
        <w:t>13 de octubre de 2026</w:t>
      </w:r>
    </w:p>
    <w:p>
      <w:pPr>
        <w:spacing w:after="240" w:line="360" w:lineRule="auto"/>
        <w:ind w:firstLine="0"/>
        <w:jc w:val="center"/>
      </w:pPr>
      <w:r>
        <w:rPr>
          <w:rFonts w:ascii="Arial" w:hAnsi="Arial"/>
          <w:b w:val="0"/>
          <w:sz w:val="22"/>
        </w:rPr>
        <w:t>Documento de análisis retrospectivo para validación del equipo</w:t>
      </w:r>
    </w:p>
    <w:p>
      <w:pPr>
        <w:spacing w:line="360" w:lineRule="auto"/>
      </w:pPr>
      <w:r>
        <w:rPr>
          <w:rFonts w:ascii="Arial" w:hAnsi="Arial"/>
        </w:rPr>
        <w:br w:type="page"/>
      </w:r>
    </w:p>
    <w:p>
      <w:pPr>
        <w:spacing w:line="360" w:lineRule="auto" w:after="140"/>
        <w:ind w:firstLine="709"/>
        <w:jc w:val="both"/>
      </w:pPr>
      <w:r>
        <w:rPr>
          <w:rFonts w:ascii="Arial" w:hAnsi="Arial"/>
          <w:sz w:val="22"/>
        </w:rPr>
        <w:t>Este análisis preparatorio utiliza los datos registrados en Jira y las referencias disponibles de GitHub para examinar la organización, la colaboración y la calidad del trabajo durante el Sprint 2. Las acciones descritas son propuestas pendientes de discusión y validación, no acuerdos atribuidos a una reunión sin confirmar.</w:t>
      </w:r>
    </w:p>
    <w:p>
      <w:pPr>
        <w:spacing w:line="360" w:lineRule="auto" w:after="140"/>
        <w:ind w:firstLine="709"/>
        <w:jc w:val="both"/>
      </w:pPr>
      <w:r>
        <w:rPr>
          <w:rFonts w:ascii="Arial" w:hAnsi="Arial"/>
          <w:sz w:val="22"/>
        </w:rPr>
        <w:t>La Sprint Retrospective evalúa cómo trabajó el equipo y qué conviene mejorar; no se reduce a contar tareas ni sustituye la Sprint Review ni las verificaciones exigidas por el Definition of Done.</w:t>
      </w:r>
    </w:p>
    <w:p>
      <w:pPr>
        <w:pStyle w:val="Heading1"/>
        <w:pageBreakBefore w:val="0"/>
        <w:ind w:firstLine="0"/>
        <w:jc w:val="left"/>
      </w:pPr>
      <w:r>
        <w:rPr>
          <w:rFonts w:ascii="Arial" w:hAnsi="Arial"/>
          <w:sz w:val="22"/>
        </w:rPr>
        <w:t>1. Balance del Sprint 2</w:t>
      </w:r>
    </w:p>
    <w:tbl>
      <w:tblPr>
        <w:tblW w:type="auto" w:w="0"/>
        <w:jc w:val="center"/>
        <w:tblLayout w:type="fixed"/>
        <w:tblLook w:firstColumn="1" w:firstRow="1" w:lastColumn="0" w:lastRow="0" w:noHBand="0" w:noVBand="1" w:val="04A0"/>
      </w:tblPr>
      <w:tblGrid>
        <w:gridCol w:w="2324"/>
        <w:gridCol w:w="6236"/>
      </w:tblGrid>
      <w:tr>
        <w:trPr>
          <w:cantSplit/>
          <w:tblHeader w:val="true"/>
          <w:cantSplit/>
        </w:trPr>
        <w:tc>
          <w:tcPr>
            <w:tcW w:type="dxa" w:w="2324"/>
            <w:vAlign w:val="center"/>
            <w:tcMar>
              <w:top w:w="80" w:type="dxa"/>
              <w:start w:w="110" w:type="dxa"/>
              <w:bottom w:w="80" w:type="dxa"/>
              <w:end w:w="110" w:type="dxa"/>
            </w:tcMar>
            <w:tcBorders>
              <w:bottom w:val="single" w:sz="4" w:color="CCD7DE"/>
              <w:top w:val="single" w:sz="4" w:color="CCD7DE"/>
              <w:left w:val="single" w:sz="4" w:color="CCD7DE"/>
              <w:right w:val="single" w:sz="4" w:color="CCD7DE"/>
            </w:tcBorders>
            <w:shd w:fill="123847"/>
          </w:tcPr>
          <w:p>
            <w:pPr>
              <w:keepNext/>
              <w:spacing w:line="360" w:lineRule="auto" w:before="0" w:after="0"/>
              <w:ind w:firstLine="0"/>
              <w:jc w:val="left"/>
            </w:pPr>
            <w:r>
              <w:rPr>
                <w:rFonts w:ascii="Arial" w:hAnsi="Arial"/>
                <w:b/>
                <w:color w:val="FFFFFF"/>
                <w:sz w:val="22"/>
              </w:rPr>
              <w:t>Dato</w:t>
            </w:r>
          </w:p>
        </w:tc>
        <w:tc>
          <w:tcPr>
            <w:tcW w:type="dxa" w:w="6236"/>
            <w:vAlign w:val="center"/>
            <w:tcMar>
              <w:top w:w="80" w:type="dxa"/>
              <w:start w:w="110" w:type="dxa"/>
              <w:bottom w:w="80" w:type="dxa"/>
              <w:end w:w="110" w:type="dxa"/>
            </w:tcMar>
            <w:tcBorders>
              <w:bottom w:val="single" w:sz="4" w:color="CCD7DE"/>
              <w:top w:val="single" w:sz="4" w:color="CCD7DE"/>
              <w:left w:val="single" w:sz="4" w:color="CCD7DE"/>
              <w:right w:val="single" w:sz="4" w:color="CCD7DE"/>
            </w:tcBorders>
            <w:shd w:fill="123847"/>
          </w:tcPr>
          <w:p>
            <w:pPr>
              <w:keepNext/>
              <w:spacing w:line="360" w:lineRule="auto" w:before="0" w:after="0"/>
              <w:ind w:firstLine="0"/>
              <w:jc w:val="left"/>
            </w:pPr>
            <w:r>
              <w:rPr>
                <w:rFonts w:ascii="Arial" w:hAnsi="Arial"/>
                <w:b/>
                <w:color w:val="FFFFFF"/>
                <w:sz w:val="22"/>
              </w:rPr>
              <w:t>Registro verificado</w:t>
            </w:r>
          </w:p>
        </w:tc>
      </w:tr>
      <w:tr>
        <w:trPr>
          <w:cantSplit/>
          <w:cantSplit/>
        </w:trPr>
        <w:tc>
          <w:tcPr>
            <w:tcW w:type="dxa" w:w="2324"/>
            <w:vAlign w:val="center"/>
            <w:tcMar>
              <w:top w:w="80" w:type="dxa"/>
              <w:start w:w="110" w:type="dxa"/>
              <w:bottom w:w="80" w:type="dxa"/>
              <w:end w:w="110" w:type="dxa"/>
            </w:tcMar>
            <w:tcBorders>
              <w:bottom w:val="single" w:sz="4" w:color="CCD7DE"/>
              <w:top w:val="single" w:sz="4" w:color="CCD7DE"/>
              <w:left w:val="single" w:sz="4" w:color="CCD7DE"/>
              <w:right w:val="single" w:sz="4" w:color="CCD7DE"/>
            </w:tcBorders>
          </w:tcPr>
          <w:p>
            <w:pPr>
              <w:keepNext w:val="0"/>
              <w:spacing w:line="360" w:lineRule="auto" w:before="0" w:after="0"/>
              <w:ind w:firstLine="0"/>
              <w:jc w:val="left"/>
            </w:pPr>
            <w:r>
              <w:rPr>
                <w:rFonts w:ascii="Arial" w:hAnsi="Arial"/>
                <w:b/>
                <w:sz w:val="22"/>
              </w:rPr>
              <w:t>Periodo previsto</w:t>
            </w:r>
          </w:p>
        </w:tc>
        <w:tc>
          <w:tcPr>
            <w:tcW w:type="dxa" w:w="6236"/>
            <w:vAlign w:val="center"/>
            <w:tcMar>
              <w:top w:w="80" w:type="dxa"/>
              <w:start w:w="110" w:type="dxa"/>
              <w:bottom w:w="80" w:type="dxa"/>
              <w:end w:w="110" w:type="dxa"/>
            </w:tcMar>
            <w:tcBorders>
              <w:bottom w:val="single" w:sz="4" w:color="CCD7DE"/>
              <w:top w:val="single" w:sz="4" w:color="CCD7DE"/>
              <w:left w:val="single" w:sz="4" w:color="CCD7DE"/>
              <w:right w:val="single" w:sz="4" w:color="CCD7DE"/>
            </w:tcBorders>
          </w:tcPr>
          <w:p>
            <w:pPr>
              <w:keepNext w:val="0"/>
              <w:spacing w:line="360" w:lineRule="auto" w:before="0" w:after="0"/>
              <w:ind w:firstLine="0"/>
              <w:jc w:val="left"/>
            </w:pPr>
            <w:r>
              <w:rPr>
                <w:rFonts w:ascii="Arial" w:hAnsi="Arial"/>
                <w:sz w:val="22"/>
              </w:rPr>
              <w:t>3 al 17 de octubre de 2026</w:t>
            </w:r>
          </w:p>
        </w:tc>
      </w:tr>
      <w:tr>
        <w:trPr>
          <w:cantSplit/>
          <w:cantSplit/>
        </w:trPr>
        <w:tc>
          <w:tcPr>
            <w:tcW w:type="dxa" w:w="2324"/>
            <w:vAlign w:val="center"/>
            <w:tcMar>
              <w:top w:w="80" w:type="dxa"/>
              <w:start w:w="110" w:type="dxa"/>
              <w:bottom w:w="80" w:type="dxa"/>
              <w:end w:w="110" w:type="dxa"/>
            </w:tcMar>
            <w:tcBorders>
              <w:bottom w:val="single" w:sz="4" w:color="CCD7DE"/>
              <w:top w:val="single" w:sz="4" w:color="CCD7DE"/>
              <w:left w:val="single" w:sz="4" w:color="CCD7DE"/>
              <w:right w:val="single" w:sz="4" w:color="CCD7DE"/>
            </w:tcBorders>
            <w:shd w:fill="F5F8F9"/>
          </w:tcPr>
          <w:p>
            <w:pPr>
              <w:keepNext w:val="0"/>
              <w:spacing w:line="360" w:lineRule="auto" w:before="0" w:after="0"/>
              <w:ind w:firstLine="0"/>
              <w:jc w:val="left"/>
            </w:pPr>
            <w:r>
              <w:rPr>
                <w:rFonts w:ascii="Arial" w:hAnsi="Arial"/>
                <w:b/>
                <w:sz w:val="22"/>
              </w:rPr>
              <w:t>Cierre en Jira</w:t>
            </w:r>
          </w:p>
        </w:tc>
        <w:tc>
          <w:tcPr>
            <w:tcW w:type="dxa" w:w="6236"/>
            <w:vAlign w:val="center"/>
            <w:tcMar>
              <w:top w:w="80" w:type="dxa"/>
              <w:start w:w="110" w:type="dxa"/>
              <w:bottom w:w="80" w:type="dxa"/>
              <w:end w:w="110" w:type="dxa"/>
            </w:tcMar>
            <w:tcBorders>
              <w:bottom w:val="single" w:sz="4" w:color="CCD7DE"/>
              <w:top w:val="single" w:sz="4" w:color="CCD7DE"/>
              <w:left w:val="single" w:sz="4" w:color="CCD7DE"/>
              <w:right w:val="single" w:sz="4" w:color="CCD7DE"/>
            </w:tcBorders>
            <w:shd w:fill="F5F8F9"/>
          </w:tcPr>
          <w:p>
            <w:pPr>
              <w:keepNext w:val="0"/>
              <w:spacing w:line="360" w:lineRule="auto" w:before="0" w:after="0"/>
              <w:ind w:firstLine="0"/>
              <w:jc w:val="left"/>
            </w:pPr>
            <w:r>
              <w:rPr>
                <w:rFonts w:ascii="Arial" w:hAnsi="Arial"/>
                <w:sz w:val="22"/>
              </w:rPr>
              <w:t>12 de octubre de 2026, antes de la fecha prevista</w:t>
            </w:r>
          </w:p>
        </w:tc>
      </w:tr>
      <w:tr>
        <w:trPr>
          <w:cantSplit/>
          <w:cantSplit/>
        </w:trPr>
        <w:tc>
          <w:tcPr>
            <w:tcW w:type="dxa" w:w="2324"/>
            <w:vAlign w:val="center"/>
            <w:tcMar>
              <w:top w:w="80" w:type="dxa"/>
              <w:start w:w="110" w:type="dxa"/>
              <w:bottom w:w="80" w:type="dxa"/>
              <w:end w:w="110" w:type="dxa"/>
            </w:tcMar>
            <w:tcBorders>
              <w:bottom w:val="single" w:sz="4" w:color="CCD7DE"/>
              <w:top w:val="single" w:sz="4" w:color="CCD7DE"/>
              <w:left w:val="single" w:sz="4" w:color="CCD7DE"/>
              <w:right w:val="single" w:sz="4" w:color="CCD7DE"/>
            </w:tcBorders>
          </w:tcPr>
          <w:p>
            <w:pPr>
              <w:keepNext w:val="0"/>
              <w:spacing w:line="360" w:lineRule="auto" w:before="0" w:after="0"/>
              <w:ind w:firstLine="0"/>
              <w:jc w:val="left"/>
            </w:pPr>
            <w:r>
              <w:rPr>
                <w:rFonts w:ascii="Arial" w:hAnsi="Arial"/>
                <w:b/>
                <w:sz w:val="22"/>
              </w:rPr>
              <w:t>Resultado</w:t>
            </w:r>
          </w:p>
        </w:tc>
        <w:tc>
          <w:tcPr>
            <w:tcW w:type="dxa" w:w="6236"/>
            <w:vAlign w:val="center"/>
            <w:tcMar>
              <w:top w:w="80" w:type="dxa"/>
              <w:start w:w="110" w:type="dxa"/>
              <w:bottom w:w="80" w:type="dxa"/>
              <w:end w:w="110" w:type="dxa"/>
            </w:tcMar>
            <w:tcBorders>
              <w:bottom w:val="single" w:sz="4" w:color="CCD7DE"/>
              <w:top w:val="single" w:sz="4" w:color="CCD7DE"/>
              <w:left w:val="single" w:sz="4" w:color="CCD7DE"/>
              <w:right w:val="single" w:sz="4" w:color="CCD7DE"/>
            </w:tcBorders>
          </w:tcPr>
          <w:p>
            <w:pPr>
              <w:keepNext w:val="0"/>
              <w:spacing w:line="360" w:lineRule="auto" w:before="0" w:after="0"/>
              <w:ind w:firstLine="0"/>
              <w:jc w:val="left"/>
            </w:pPr>
            <w:r>
              <w:rPr>
                <w:rFonts w:ascii="Arial" w:hAnsi="Arial"/>
                <w:sz w:val="22"/>
              </w:rPr>
              <w:t>24 de 24 tareas finalizadas (100 % del tablero)</w:t>
            </w:r>
          </w:p>
        </w:tc>
      </w:tr>
      <w:tr>
        <w:trPr>
          <w:cantSplit/>
          <w:cantSplit/>
        </w:trPr>
        <w:tc>
          <w:tcPr>
            <w:tcW w:type="dxa" w:w="2324"/>
            <w:vAlign w:val="center"/>
            <w:tcMar>
              <w:top w:w="80" w:type="dxa"/>
              <w:start w:w="110" w:type="dxa"/>
              <w:bottom w:w="80" w:type="dxa"/>
              <w:end w:w="110" w:type="dxa"/>
            </w:tcMar>
            <w:tcBorders>
              <w:bottom w:val="single" w:sz="4" w:color="CCD7DE"/>
              <w:top w:val="single" w:sz="4" w:color="CCD7DE"/>
              <w:left w:val="single" w:sz="4" w:color="CCD7DE"/>
              <w:right w:val="single" w:sz="4" w:color="CCD7DE"/>
            </w:tcBorders>
            <w:shd w:fill="F5F8F9"/>
          </w:tcPr>
          <w:p>
            <w:pPr>
              <w:keepNext w:val="0"/>
              <w:spacing w:line="360" w:lineRule="auto" w:before="0" w:after="0"/>
              <w:ind w:firstLine="0"/>
              <w:jc w:val="left"/>
            </w:pPr>
            <w:r>
              <w:rPr>
                <w:rFonts w:ascii="Arial" w:hAnsi="Arial"/>
                <w:b/>
                <w:sz w:val="22"/>
              </w:rPr>
              <w:t>Organización</w:t>
            </w:r>
          </w:p>
        </w:tc>
        <w:tc>
          <w:tcPr>
            <w:tcW w:type="dxa" w:w="6236"/>
            <w:vAlign w:val="center"/>
            <w:tcMar>
              <w:top w:w="80" w:type="dxa"/>
              <w:start w:w="110" w:type="dxa"/>
              <w:bottom w:w="80" w:type="dxa"/>
              <w:end w:w="110" w:type="dxa"/>
            </w:tcMar>
            <w:tcBorders>
              <w:bottom w:val="single" w:sz="4" w:color="CCD7DE"/>
              <w:top w:val="single" w:sz="4" w:color="CCD7DE"/>
              <w:left w:val="single" w:sz="4" w:color="CCD7DE"/>
              <w:right w:val="single" w:sz="4" w:color="CCD7DE"/>
            </w:tcBorders>
            <w:shd w:fill="F5F8F9"/>
          </w:tcPr>
          <w:p>
            <w:pPr>
              <w:keepNext w:val="0"/>
              <w:spacing w:line="360" w:lineRule="auto" w:before="0" w:after="0"/>
              <w:ind w:firstLine="0"/>
              <w:jc w:val="left"/>
            </w:pPr>
            <w:r>
              <w:rPr>
                <w:rFonts w:ascii="Arial" w:hAnsi="Arial"/>
                <w:sz w:val="22"/>
              </w:rPr>
              <w:t>Épica SCRUM-78: consolidación técnica y validación integral</w:t>
            </w:r>
          </w:p>
        </w:tc>
      </w:tr>
    </w:tbl>
    <w:p>
      <w:pPr>
        <w:spacing w:after="0" w:line="360" w:lineRule="auto"/>
      </w:pPr>
    </w:p>
    <w:p>
      <w:pPr>
        <w:spacing w:line="360" w:lineRule="auto" w:after="140"/>
        <w:ind w:firstLine="709"/>
        <w:jc w:val="both"/>
      </w:pPr>
      <w:r>
        <w:rPr>
          <w:rFonts w:ascii="Arial" w:hAnsi="Arial"/>
          <w:sz w:val="22"/>
        </w:rPr>
        <w:t>Las 24 tareas registradas como finalizadas abarcaron datos, CRUD, portales por rol, documentación y actividades de pruebas. El repositorio contiene pruebas automatizadas, pero no se dispone en este análisis de una salida reciente que permita afirmar que todas fueron aprobadas. El equipo debe valorar conjuntamente el proceso seguido, no solo el cierre de tareas.</w:t>
      </w:r>
    </w:p>
    <w:tbl>
      <w:tblPr>
        <w:tblW w:type="auto" w:w="0"/>
        <w:jc w:val="center"/>
        <w:tblLayout w:type="fixed"/>
        <w:tblLook w:firstColumn="1" w:firstRow="1" w:lastColumn="0" w:lastRow="0" w:noHBand="0" w:noVBand="1" w:val="04A0"/>
      </w:tblPr>
      <w:tblGrid>
        <w:gridCol w:w="2409"/>
        <w:gridCol w:w="6151"/>
      </w:tblGrid>
      <w:tr>
        <w:trPr>
          <w:cantSplit/>
          <w:tblHeader w:val="true"/>
          <w:cantSplit/>
        </w:trPr>
        <w:tc>
          <w:tcPr>
            <w:tcW w:type="dxa" w:w="2409"/>
            <w:vAlign w:val="center"/>
            <w:tcMar>
              <w:top w:w="80" w:type="dxa"/>
              <w:start w:w="110" w:type="dxa"/>
              <w:bottom w:w="80" w:type="dxa"/>
              <w:end w:w="110" w:type="dxa"/>
            </w:tcMar>
            <w:tcBorders>
              <w:bottom w:val="single" w:sz="4" w:color="CCD7DE"/>
              <w:top w:val="single" w:sz="4" w:color="CCD7DE"/>
              <w:left w:val="single" w:sz="4" w:color="CCD7DE"/>
              <w:right w:val="single" w:sz="4" w:color="CCD7DE"/>
            </w:tcBorders>
            <w:shd w:fill="123847"/>
          </w:tcPr>
          <w:p>
            <w:pPr>
              <w:keepNext/>
              <w:spacing w:line="360" w:lineRule="auto" w:before="0" w:after="0"/>
              <w:ind w:firstLine="0"/>
              <w:jc w:val="left"/>
            </w:pPr>
            <w:r>
              <w:rPr>
                <w:rFonts w:ascii="Arial" w:hAnsi="Arial"/>
                <w:b/>
                <w:color w:val="FFFFFF"/>
                <w:sz w:val="22"/>
              </w:rPr>
              <w:t>Dimensión analizada</w:t>
            </w:r>
          </w:p>
        </w:tc>
        <w:tc>
          <w:tcPr>
            <w:tcW w:type="dxa" w:w="6151"/>
            <w:vAlign w:val="center"/>
            <w:tcMar>
              <w:top w:w="80" w:type="dxa"/>
              <w:start w:w="110" w:type="dxa"/>
              <w:bottom w:w="80" w:type="dxa"/>
              <w:end w:w="110" w:type="dxa"/>
            </w:tcMar>
            <w:tcBorders>
              <w:bottom w:val="single" w:sz="4" w:color="CCD7DE"/>
              <w:top w:val="single" w:sz="4" w:color="CCD7DE"/>
              <w:left w:val="single" w:sz="4" w:color="CCD7DE"/>
              <w:right w:val="single" w:sz="4" w:color="CCD7DE"/>
            </w:tcBorders>
            <w:shd w:fill="123847"/>
          </w:tcPr>
          <w:p>
            <w:pPr>
              <w:keepNext/>
              <w:spacing w:line="360" w:lineRule="auto" w:before="0" w:after="0"/>
              <w:ind w:firstLine="0"/>
              <w:jc w:val="left"/>
            </w:pPr>
            <w:r>
              <w:rPr>
                <w:rFonts w:ascii="Arial" w:hAnsi="Arial"/>
                <w:b/>
                <w:color w:val="FFFFFF"/>
                <w:sz w:val="22"/>
              </w:rPr>
              <w:t>Observaciones para conversación del equipo</w:t>
            </w:r>
          </w:p>
        </w:tc>
      </w:tr>
      <w:tr>
        <w:trPr>
          <w:cantSplit/>
          <w:cantSplit/>
        </w:trPr>
        <w:tc>
          <w:tcPr>
            <w:tcW w:type="dxa" w:w="2409"/>
            <w:vAlign w:val="center"/>
            <w:tcMar>
              <w:top w:w="80" w:type="dxa"/>
              <w:start w:w="110" w:type="dxa"/>
              <w:bottom w:w="80" w:type="dxa"/>
              <w:end w:w="110" w:type="dxa"/>
            </w:tcMar>
            <w:tcBorders>
              <w:bottom w:val="single" w:sz="4" w:color="CCD7DE"/>
              <w:top w:val="single" w:sz="4" w:color="CCD7DE"/>
              <w:left w:val="single" w:sz="4" w:color="CCD7DE"/>
              <w:right w:val="single" w:sz="4" w:color="CCD7DE"/>
            </w:tcBorders>
          </w:tcPr>
          <w:p>
            <w:pPr>
              <w:keepNext w:val="0"/>
              <w:spacing w:line="360" w:lineRule="auto" w:before="0" w:after="0"/>
              <w:ind w:firstLine="0"/>
              <w:jc w:val="left"/>
            </w:pPr>
            <w:r>
              <w:rPr>
                <w:rFonts w:ascii="Arial" w:hAnsi="Arial"/>
                <w:b/>
                <w:sz w:val="22"/>
              </w:rPr>
              <w:t>Aspectos favorables</w:t>
            </w:r>
          </w:p>
        </w:tc>
        <w:tc>
          <w:tcPr>
            <w:tcW w:type="dxa" w:w="6151"/>
            <w:vAlign w:val="center"/>
            <w:tcMar>
              <w:top w:w="80" w:type="dxa"/>
              <w:start w:w="110" w:type="dxa"/>
              <w:bottom w:w="80" w:type="dxa"/>
              <w:end w:w="110" w:type="dxa"/>
            </w:tcMar>
            <w:tcBorders>
              <w:bottom w:val="single" w:sz="4" w:color="CCD7DE"/>
              <w:top w:val="single" w:sz="4" w:color="CCD7DE"/>
              <w:left w:val="single" w:sz="4" w:color="CCD7DE"/>
              <w:right w:val="single" w:sz="4" w:color="CCD7DE"/>
            </w:tcBorders>
          </w:tcPr>
          <w:p>
            <w:pPr>
              <w:keepNext w:val="0"/>
              <w:spacing w:line="360" w:lineRule="auto" w:before="0" w:after="0"/>
              <w:ind w:firstLine="0"/>
              <w:jc w:val="left"/>
            </w:pPr>
            <w:r>
              <w:rPr>
                <w:rFonts w:ascii="Arial" w:hAnsi="Arial"/>
                <w:sz w:val="22"/>
              </w:rPr>
              <w:t>Jira registra 24/24 tareas finalizadas y tareas documentales distribuidas entre los integrantes. GitHub conserva pruebas relacionadas con control de acceso, sesiones y portales por rol.</w:t>
            </w:r>
          </w:p>
        </w:tc>
      </w:tr>
      <w:tr>
        <w:trPr>
          <w:cantSplit/>
          <w:cantSplit/>
        </w:trPr>
        <w:tc>
          <w:tcPr>
            <w:tcW w:type="dxa" w:w="2409"/>
            <w:vAlign w:val="center"/>
            <w:tcMar>
              <w:top w:w="80" w:type="dxa"/>
              <w:start w:w="110" w:type="dxa"/>
              <w:bottom w:w="80" w:type="dxa"/>
              <w:end w:w="110" w:type="dxa"/>
            </w:tcMar>
            <w:tcBorders>
              <w:bottom w:val="single" w:sz="4" w:color="CCD7DE"/>
              <w:top w:val="single" w:sz="4" w:color="CCD7DE"/>
              <w:left w:val="single" w:sz="4" w:color="CCD7DE"/>
              <w:right w:val="single" w:sz="4" w:color="CCD7DE"/>
            </w:tcBorders>
            <w:shd w:fill="F5F8F9"/>
          </w:tcPr>
          <w:p>
            <w:pPr>
              <w:keepNext w:val="0"/>
              <w:spacing w:line="360" w:lineRule="auto" w:before="0" w:after="0"/>
              <w:ind w:firstLine="0"/>
              <w:jc w:val="left"/>
            </w:pPr>
            <w:r>
              <w:rPr>
                <w:rFonts w:ascii="Arial" w:hAnsi="Arial"/>
                <w:b/>
                <w:sz w:val="22"/>
              </w:rPr>
              <w:t>Colaboración y dependencias</w:t>
            </w:r>
          </w:p>
        </w:tc>
        <w:tc>
          <w:tcPr>
            <w:tcW w:type="dxa" w:w="6151"/>
            <w:vAlign w:val="center"/>
            <w:tcMar>
              <w:top w:w="80" w:type="dxa"/>
              <w:start w:w="110" w:type="dxa"/>
              <w:bottom w:w="80" w:type="dxa"/>
              <w:end w:w="110" w:type="dxa"/>
            </w:tcMar>
            <w:tcBorders>
              <w:bottom w:val="single" w:sz="4" w:color="CCD7DE"/>
              <w:top w:val="single" w:sz="4" w:color="CCD7DE"/>
              <w:left w:val="single" w:sz="4" w:color="CCD7DE"/>
              <w:right w:val="single" w:sz="4" w:color="CCD7DE"/>
            </w:tcBorders>
            <w:shd w:fill="F5F8F9"/>
          </w:tcPr>
          <w:p>
            <w:pPr>
              <w:keepNext w:val="0"/>
              <w:spacing w:line="360" w:lineRule="auto" w:before="0" w:after="0"/>
              <w:ind w:firstLine="0"/>
              <w:jc w:val="left"/>
            </w:pPr>
            <w:r>
              <w:rPr>
                <w:rFonts w:ascii="Arial" w:hAnsi="Arial"/>
                <w:sz w:val="22"/>
              </w:rPr>
              <w:t>El trabajo combinó frontend, backend, datos, documentación y pruebas. Conviene evaluar si las dependencias se resolvieron con coordinación suficiente, especialmente donde el buscador y las reservas requieren datos reales y validaciones del servidor.</w:t>
            </w:r>
          </w:p>
        </w:tc>
      </w:tr>
      <w:tr>
        <w:trPr>
          <w:cantSplit/>
          <w:cantSplit/>
        </w:trPr>
        <w:tc>
          <w:tcPr>
            <w:tcW w:type="dxa" w:w="2409"/>
            <w:vAlign w:val="center"/>
            <w:tcMar>
              <w:top w:w="80" w:type="dxa"/>
              <w:start w:w="110" w:type="dxa"/>
              <w:bottom w:w="80" w:type="dxa"/>
              <w:end w:w="110" w:type="dxa"/>
            </w:tcMar>
            <w:tcBorders>
              <w:bottom w:val="single" w:sz="4" w:color="CCD7DE"/>
              <w:top w:val="single" w:sz="4" w:color="CCD7DE"/>
              <w:left w:val="single" w:sz="4" w:color="CCD7DE"/>
              <w:right w:val="single" w:sz="4" w:color="CCD7DE"/>
            </w:tcBorders>
          </w:tcPr>
          <w:p>
            <w:pPr>
              <w:keepNext w:val="0"/>
              <w:spacing w:line="360" w:lineRule="auto" w:before="0" w:after="0"/>
              <w:ind w:firstLine="0"/>
              <w:jc w:val="left"/>
            </w:pPr>
            <w:r>
              <w:rPr>
                <w:rFonts w:ascii="Arial" w:hAnsi="Arial"/>
                <w:b/>
                <w:sz w:val="22"/>
              </w:rPr>
              <w:t>Calidad y Definition of Done</w:t>
            </w:r>
          </w:p>
        </w:tc>
        <w:tc>
          <w:tcPr>
            <w:tcW w:type="dxa" w:w="6151"/>
            <w:vAlign w:val="center"/>
            <w:tcMar>
              <w:top w:w="80" w:type="dxa"/>
              <w:start w:w="110" w:type="dxa"/>
              <w:bottom w:w="80" w:type="dxa"/>
              <w:end w:w="110" w:type="dxa"/>
            </w:tcMar>
            <w:tcBorders>
              <w:bottom w:val="single" w:sz="4" w:color="CCD7DE"/>
              <w:top w:val="single" w:sz="4" w:color="CCD7DE"/>
              <w:left w:val="single" w:sz="4" w:color="CCD7DE"/>
              <w:right w:val="single" w:sz="4" w:color="CCD7DE"/>
            </w:tcBorders>
          </w:tcPr>
          <w:p>
            <w:pPr>
              <w:keepNext w:val="0"/>
              <w:spacing w:line="360" w:lineRule="auto" w:before="0" w:after="0"/>
              <w:ind w:firstLine="0"/>
              <w:jc w:val="left"/>
            </w:pPr>
            <w:r>
              <w:rPr>
                <w:rFonts w:ascii="Arial" w:hAnsi="Arial"/>
                <w:sz w:val="22"/>
              </w:rPr>
              <w:t>La finalización en Jira no reemplaza una prueba ejecutada ni una revisión del incremento. Se debe relacionar cada trabajo crítico con código, criterios de aceptación, evidencia reproducible y registro de defectos cuando corresponda.</w:t>
            </w:r>
          </w:p>
        </w:tc>
      </w:tr>
      <w:tr>
        <w:trPr>
          <w:cantSplit/>
          <w:cantSplit/>
        </w:trPr>
        <w:tc>
          <w:tcPr>
            <w:tcW w:type="dxa" w:w="2409"/>
            <w:vAlign w:val="center"/>
            <w:tcMar>
              <w:top w:w="80" w:type="dxa"/>
              <w:start w:w="110" w:type="dxa"/>
              <w:bottom w:w="80" w:type="dxa"/>
              <w:end w:w="110" w:type="dxa"/>
            </w:tcMar>
            <w:tcBorders>
              <w:bottom w:val="single" w:sz="4" w:color="CCD7DE"/>
              <w:top w:val="single" w:sz="4" w:color="CCD7DE"/>
              <w:left w:val="single" w:sz="4" w:color="CCD7DE"/>
              <w:right w:val="single" w:sz="4" w:color="CCD7DE"/>
            </w:tcBorders>
          </w:tcPr>
          <w:p>
            <w:pPr>
              <w:keepNext w:val="0"/>
              <w:spacing w:line="360" w:lineRule="auto" w:before="0" w:after="0"/>
              <w:ind w:firstLine="0"/>
              <w:jc w:val="left"/>
            </w:pPr>
            <w:r>
              <w:rPr>
                <w:rFonts w:ascii="Arial" w:hAnsi="Arial"/>
                <w:b/>
                <w:sz w:val="22"/>
              </w:rPr>
              <w:t>Planificación y cadencia</w:t>
            </w:r>
          </w:p>
        </w:tc>
        <w:tc>
          <w:tcPr>
            <w:tcW w:type="dxa" w:w="6151"/>
            <w:vAlign w:val="center"/>
            <w:tcMar>
              <w:top w:w="80" w:type="dxa"/>
              <w:start w:w="110" w:type="dxa"/>
              <w:bottom w:w="80" w:type="dxa"/>
              <w:end w:w="110" w:type="dxa"/>
            </w:tcMar>
            <w:tcBorders>
              <w:bottom w:val="single" w:sz="4" w:color="CCD7DE"/>
              <w:top w:val="single" w:sz="4" w:color="CCD7DE"/>
              <w:left w:val="single" w:sz="4" w:color="CCD7DE"/>
              <w:right w:val="single" w:sz="4" w:color="CCD7DE"/>
            </w:tcBorders>
          </w:tcPr>
          <w:p>
            <w:pPr>
              <w:keepNext w:val="0"/>
              <w:spacing w:line="360" w:lineRule="auto" w:before="0" w:after="0"/>
              <w:ind w:firstLine="0"/>
              <w:jc w:val="left"/>
            </w:pPr>
            <w:r>
              <w:rPr>
                <w:rFonts w:ascii="Arial" w:hAnsi="Arial"/>
                <w:sz w:val="22"/>
              </w:rPr>
              <w:t>El cierre en Jira ocurrió el 12 de octubre, cinco días antes de la fecha prevista (17 de octubre). Corresponde revisar con el equipo por qué sucedió y cómo preservar en adelante la duración fija, el Sprint Goal y los eventos de inspección.</w:t>
            </w:r>
          </w:p>
        </w:tc>
      </w:tr>
    </w:tbl>
    <w:p>
      <w:pPr>
        <w:spacing w:after="0" w:line="360" w:lineRule="auto"/>
      </w:pPr>
    </w:p>
    <w:p>
      <w:pPr>
        <w:spacing w:line="360" w:lineRule="auto" w:after="140"/>
        <w:ind w:firstLine="709"/>
        <w:jc w:val="both"/>
      </w:pPr>
      <w:r>
        <w:rPr>
          <w:rFonts w:ascii="Arial" w:hAnsi="Arial"/>
          <w:sz w:val="22"/>
        </w:rPr>
        <w:t>El Sprint Goal del Sprint 2 no está registrado en el campo correspondiente de Jira. Además, el Sprint fue cerrado en Jira el 12 de octubre, aunque su término previsto era el 17. En Scrum la duración del Sprint se mantiene fija; este cierre anticipado debe explicarse como una diferencia respecto del calendario planificado, no asumirse automáticamente como una mejora del proceso.</w:t>
      </w:r>
    </w:p>
    <w:p>
      <w:pPr>
        <w:pStyle w:val="Heading1"/>
        <w:pageBreakBefore w:val="0"/>
        <w:ind w:firstLine="0"/>
        <w:jc w:val="left"/>
      </w:pPr>
      <w:r>
        <w:rPr>
          <w:rFonts w:ascii="Arial" w:hAnsi="Arial"/>
          <w:sz w:val="22"/>
        </w:rPr>
        <w:t>2. Acciones y validación</w:t>
      </w:r>
    </w:p>
    <w:p>
      <w:pPr>
        <w:spacing w:line="360" w:lineRule="auto" w:after="140"/>
        <w:ind w:firstLine="709"/>
        <w:jc w:val="both"/>
      </w:pPr>
      <w:r>
        <w:rPr>
          <w:rFonts w:ascii="Arial" w:hAnsi="Arial"/>
          <w:sz w:val="22"/>
        </w:rPr>
        <w:t>La planificación del Sprint 3 incluye ocho tareas relacionadas con necesidades técnicas detectadas, pero la selección de esas tareas no equivale a un acuerdo retrospectivo. Se proponen acciones concretas de coordinación, evidencia de pruebas y seguimiento para que el equipo las discuta y registre sus compromisos.</w:t>
      </w:r>
    </w:p>
    <w:tbl>
      <w:tblPr>
        <w:tblW w:type="auto" w:w="0"/>
        <w:jc w:val="center"/>
        <w:tblLayout w:type="fixed"/>
        <w:tblLook w:firstColumn="1" w:firstRow="1" w:lastColumn="0" w:lastRow="0" w:noHBand="0" w:noVBand="1" w:val="04A0"/>
      </w:tblPr>
      <w:tblGrid>
        <w:gridCol w:w="2409"/>
        <w:gridCol w:w="6151"/>
      </w:tblGrid>
      <w:tr>
        <w:trPr>
          <w:cantSplit/>
          <w:tblHeader w:val="true"/>
          <w:cantSplit/>
        </w:trPr>
        <w:tc>
          <w:tcPr>
            <w:tcW w:type="dxa" w:w="2409"/>
            <w:vAlign w:val="center"/>
            <w:tcMar>
              <w:top w:w="80" w:type="dxa"/>
              <w:start w:w="110" w:type="dxa"/>
              <w:bottom w:w="80" w:type="dxa"/>
              <w:end w:w="110" w:type="dxa"/>
            </w:tcMar>
            <w:tcBorders>
              <w:bottom w:val="single" w:sz="4" w:color="CCD7DE"/>
              <w:top w:val="single" w:sz="4" w:color="CCD7DE"/>
              <w:left w:val="single" w:sz="4" w:color="CCD7DE"/>
              <w:right w:val="single" w:sz="4" w:color="CCD7DE"/>
            </w:tcBorders>
            <w:shd w:fill="123847"/>
          </w:tcPr>
          <w:p>
            <w:pPr>
              <w:keepNext/>
              <w:spacing w:line="360" w:lineRule="auto" w:after="0" w:before="0"/>
              <w:jc w:val="left"/>
            </w:pPr>
            <w:r>
              <w:rPr>
                <w:rFonts w:ascii="Arial" w:hAnsi="Arial"/>
                <w:b/>
                <w:color w:val="FFFFFF"/>
                <w:sz w:val="22"/>
              </w:rPr>
              <w:t>Acción de mejora propuesta</w:t>
            </w:r>
          </w:p>
        </w:tc>
        <w:tc>
          <w:tcPr>
            <w:tcW w:type="dxa" w:w="6151"/>
            <w:vAlign w:val="center"/>
            <w:tcMar>
              <w:top w:w="80" w:type="dxa"/>
              <w:start w:w="110" w:type="dxa"/>
              <w:bottom w:w="80" w:type="dxa"/>
              <w:end w:w="110" w:type="dxa"/>
            </w:tcMar>
            <w:tcBorders>
              <w:bottom w:val="single" w:sz="4" w:color="CCD7DE"/>
              <w:top w:val="single" w:sz="4" w:color="CCD7DE"/>
              <w:left w:val="single" w:sz="4" w:color="CCD7DE"/>
              <w:right w:val="single" w:sz="4" w:color="CCD7DE"/>
            </w:tcBorders>
            <w:shd w:fill="123847"/>
          </w:tcPr>
          <w:p>
            <w:pPr>
              <w:keepNext/>
              <w:spacing w:line="360" w:lineRule="auto" w:after="0" w:before="0"/>
              <w:jc w:val="left"/>
            </w:pPr>
            <w:r>
              <w:rPr>
                <w:rFonts w:ascii="Arial" w:hAnsi="Arial"/>
                <w:b/>
                <w:color w:val="FFFFFF"/>
                <w:sz w:val="22"/>
              </w:rPr>
              <w:t>Responsables sugeridos y comprobación</w:t>
            </w:r>
          </w:p>
        </w:tc>
      </w:tr>
      <w:tr>
        <w:trPr>
          <w:cantSplit/>
          <w:cantSplit/>
        </w:trPr>
        <w:tc>
          <w:tcPr>
            <w:tcW w:type="dxa" w:w="2409"/>
            <w:vAlign w:val="center"/>
            <w:tcMar>
              <w:top w:w="80" w:type="dxa"/>
              <w:start w:w="110" w:type="dxa"/>
              <w:bottom w:w="80" w:type="dxa"/>
              <w:end w:w="110" w:type="dxa"/>
            </w:tcMar>
            <w:tcBorders>
              <w:bottom w:val="single" w:sz="4" w:color="CCD7DE"/>
              <w:top w:val="single" w:sz="4" w:color="CCD7DE"/>
              <w:left w:val="single" w:sz="4" w:color="CCD7DE"/>
              <w:right w:val="single" w:sz="4" w:color="CCD7DE"/>
            </w:tcBorders>
          </w:tcPr>
          <w:p>
            <w:pPr>
              <w:keepNext w:val="0"/>
              <w:spacing w:line="360" w:lineRule="auto" w:after="0" w:before="0"/>
              <w:jc w:val="left"/>
            </w:pPr>
            <w:r>
              <w:rPr>
                <w:rFonts w:ascii="Arial" w:hAnsi="Arial"/>
                <w:b/>
                <w:sz w:val="22"/>
              </w:rPr>
              <w:t>Pruebas y cierre verificable</w:t>
            </w:r>
          </w:p>
        </w:tc>
        <w:tc>
          <w:tcPr>
            <w:tcW w:type="dxa" w:w="6151"/>
            <w:vAlign w:val="center"/>
            <w:tcMar>
              <w:top w:w="80" w:type="dxa"/>
              <w:start w:w="110" w:type="dxa"/>
              <w:bottom w:w="80" w:type="dxa"/>
              <w:end w:w="110" w:type="dxa"/>
            </w:tcMar>
            <w:tcBorders>
              <w:bottom w:val="single" w:sz="4" w:color="CCD7DE"/>
              <w:top w:val="single" w:sz="4" w:color="CCD7DE"/>
              <w:left w:val="single" w:sz="4" w:color="CCD7DE"/>
              <w:right w:val="single" w:sz="4" w:color="CCD7DE"/>
            </w:tcBorders>
          </w:tcPr>
          <w:p>
            <w:pPr>
              <w:keepNext w:val="0"/>
              <w:spacing w:line="360" w:lineRule="auto" w:after="0" w:before="0"/>
              <w:jc w:val="left"/>
            </w:pPr>
            <w:r>
              <w:rPr>
                <w:rFonts w:ascii="Arial" w:hAnsi="Arial"/>
                <w:b w:val="0"/>
                <w:sz w:val="22"/>
              </w:rPr>
              <w:t>Propuesta: vincular a los criterios de aceptación la salida real de pruebas, versión/commit e incidencias. Referencia: SCRUM-52, Franco, con revisión conjunta de calidad; comprobar durante Sprint 3 y antes de declarar el incremento terminado.</w:t>
            </w:r>
          </w:p>
        </w:tc>
      </w:tr>
      <w:tr>
        <w:trPr>
          <w:cantSplit/>
          <w:cantSplit/>
        </w:trPr>
        <w:tc>
          <w:tcPr>
            <w:tcW w:type="dxa" w:w="2409"/>
            <w:vAlign w:val="center"/>
            <w:tcMar>
              <w:top w:w="80" w:type="dxa"/>
              <w:start w:w="110" w:type="dxa"/>
              <w:bottom w:w="80" w:type="dxa"/>
              <w:end w:w="110" w:type="dxa"/>
            </w:tcMar>
            <w:tcBorders>
              <w:bottom w:val="single" w:sz="4" w:color="CCD7DE"/>
              <w:top w:val="single" w:sz="4" w:color="CCD7DE"/>
              <w:left w:val="single" w:sz="4" w:color="CCD7DE"/>
              <w:right w:val="single" w:sz="4" w:color="CCD7DE"/>
            </w:tcBorders>
            <w:shd w:fill="F5F8F9"/>
          </w:tcPr>
          <w:p>
            <w:pPr>
              <w:keepNext w:val="0"/>
              <w:spacing w:line="360" w:lineRule="auto" w:after="0" w:before="0"/>
              <w:jc w:val="left"/>
            </w:pPr>
            <w:r>
              <w:rPr>
                <w:rFonts w:ascii="Arial" w:hAnsi="Arial"/>
                <w:b/>
                <w:sz w:val="22"/>
              </w:rPr>
              <w:t>Integración por dependencias</w:t>
            </w:r>
          </w:p>
        </w:tc>
        <w:tc>
          <w:tcPr>
            <w:tcW w:type="dxa" w:w="6151"/>
            <w:vAlign w:val="center"/>
            <w:tcMar>
              <w:top w:w="80" w:type="dxa"/>
              <w:start w:w="110" w:type="dxa"/>
              <w:bottom w:w="80" w:type="dxa"/>
              <w:end w:w="110" w:type="dxa"/>
            </w:tcMar>
            <w:tcBorders>
              <w:bottom w:val="single" w:sz="4" w:color="CCD7DE"/>
              <w:top w:val="single" w:sz="4" w:color="CCD7DE"/>
              <w:left w:val="single" w:sz="4" w:color="CCD7DE"/>
              <w:right w:val="single" w:sz="4" w:color="CCD7DE"/>
            </w:tcBorders>
            <w:shd w:fill="F5F8F9"/>
          </w:tcPr>
          <w:p>
            <w:pPr>
              <w:keepNext w:val="0"/>
              <w:spacing w:line="360" w:lineRule="auto" w:after="0" w:before="0"/>
              <w:jc w:val="left"/>
            </w:pPr>
            <w:r>
              <w:rPr>
                <w:rFonts w:ascii="Arial" w:hAnsi="Arial"/>
                <w:b w:val="0"/>
                <w:sz w:val="22"/>
              </w:rPr>
              <w:t>Propuesta: revisar en conjunto la relación disponibilidad → reservas → interfaz (SCRUM-33/34 con SCRUM-30/31/29/32). Seguimiento sugerido: Franco, Francheska y Benjamín según las tareas asignadas. Verificación: flujos con datos reales y pruebas reproducibles.</w:t>
            </w:r>
          </w:p>
        </w:tc>
      </w:tr>
      <w:tr>
        <w:trPr>
          <w:cantSplit/>
          <w:cantSplit/>
        </w:trPr>
        <w:tc>
          <w:tcPr>
            <w:tcW w:type="dxa" w:w="2409"/>
            <w:vAlign w:val="center"/>
            <w:tcMar>
              <w:top w:w="80" w:type="dxa"/>
              <w:start w:w="110" w:type="dxa"/>
              <w:bottom w:w="80" w:type="dxa"/>
              <w:end w:w="110" w:type="dxa"/>
            </w:tcMar>
            <w:tcBorders>
              <w:bottom w:val="single" w:sz="4" w:color="CCD7DE"/>
              <w:top w:val="single" w:sz="4" w:color="CCD7DE"/>
              <w:left w:val="single" w:sz="4" w:color="CCD7DE"/>
              <w:right w:val="single" w:sz="4" w:color="CCD7DE"/>
            </w:tcBorders>
          </w:tcPr>
          <w:p>
            <w:pPr>
              <w:keepNext w:val="0"/>
              <w:spacing w:line="360" w:lineRule="auto" w:after="0" w:before="0"/>
              <w:jc w:val="left"/>
            </w:pPr>
            <w:r>
              <w:rPr>
                <w:rFonts w:ascii="Arial" w:hAnsi="Arial"/>
                <w:b/>
                <w:sz w:val="22"/>
              </w:rPr>
              <w:t>Seguridad y coordinación</w:t>
            </w:r>
          </w:p>
        </w:tc>
        <w:tc>
          <w:tcPr>
            <w:tcW w:type="dxa" w:w="6151"/>
            <w:vAlign w:val="center"/>
            <w:tcMar>
              <w:top w:w="80" w:type="dxa"/>
              <w:start w:w="110" w:type="dxa"/>
              <w:bottom w:w="80" w:type="dxa"/>
              <w:end w:w="110" w:type="dxa"/>
            </w:tcMar>
            <w:tcBorders>
              <w:bottom w:val="single" w:sz="4" w:color="CCD7DE"/>
              <w:top w:val="single" w:sz="4" w:color="CCD7DE"/>
              <w:left w:val="single" w:sz="4" w:color="CCD7DE"/>
              <w:right w:val="single" w:sz="4" w:color="CCD7DE"/>
            </w:tcBorders>
          </w:tcPr>
          <w:p>
            <w:pPr>
              <w:keepNext w:val="0"/>
              <w:spacing w:line="360" w:lineRule="auto" w:after="0" w:before="0"/>
              <w:jc w:val="left"/>
            </w:pPr>
            <w:r>
              <w:rPr>
                <w:rFonts w:ascii="Arial" w:hAnsi="Arial"/>
                <w:b w:val="0"/>
                <w:sz w:val="22"/>
              </w:rPr>
              <w:t>Propuesta: validar en servidor los montos de Webpay, confirmaciones y controles de acceso (SCRUM-48, Benjamín, con apoyo técnico de Franco). Verificación: pruebas de rechazo y manipulación, documentadas sin efectuar cobros reales.</w:t>
            </w:r>
          </w:p>
        </w:tc>
      </w:tr>
      <w:tr>
        <w:trPr>
          <w:cantSplit/>
          <w:cantSplit/>
        </w:trPr>
        <w:tc>
          <w:tcPr>
            <w:tcW w:type="dxa" w:w="2409"/>
            <w:vAlign w:val="center"/>
            <w:tcMar>
              <w:top w:w="80" w:type="dxa"/>
              <w:start w:w="110" w:type="dxa"/>
              <w:bottom w:w="80" w:type="dxa"/>
              <w:end w:w="110" w:type="dxa"/>
            </w:tcMar>
            <w:tcBorders>
              <w:bottom w:val="single" w:sz="4" w:color="CCD7DE"/>
              <w:top w:val="single" w:sz="4" w:color="CCD7DE"/>
              <w:left w:val="single" w:sz="4" w:color="CCD7DE"/>
              <w:right w:val="single" w:sz="4" w:color="CCD7DE"/>
            </w:tcBorders>
          </w:tcPr>
          <w:p>
            <w:pPr>
              <w:keepNext w:val="0"/>
              <w:spacing w:line="360" w:lineRule="auto" w:after="0" w:before="0"/>
              <w:jc w:val="left"/>
            </w:pPr>
            <w:r>
              <w:rPr>
                <w:rFonts w:ascii="Arial" w:hAnsi="Arial"/>
                <w:b/>
                <w:sz w:val="22"/>
              </w:rPr>
              <w:t>Cadencia e inspección</w:t>
            </w:r>
          </w:p>
        </w:tc>
        <w:tc>
          <w:tcPr>
            <w:tcW w:type="dxa" w:w="6151"/>
            <w:vAlign w:val="center"/>
            <w:tcMar>
              <w:top w:w="80" w:type="dxa"/>
              <w:start w:w="110" w:type="dxa"/>
              <w:bottom w:w="80" w:type="dxa"/>
              <w:end w:w="110" w:type="dxa"/>
            </w:tcMar>
            <w:tcBorders>
              <w:bottom w:val="single" w:sz="4" w:color="CCD7DE"/>
              <w:top w:val="single" w:sz="4" w:color="CCD7DE"/>
              <w:left w:val="single" w:sz="4" w:color="CCD7DE"/>
              <w:right w:val="single" w:sz="4" w:color="CCD7DE"/>
            </w:tcBorders>
          </w:tcPr>
          <w:p>
            <w:pPr>
              <w:keepNext w:val="0"/>
              <w:spacing w:line="360" w:lineRule="auto" w:after="0" w:before="0"/>
              <w:jc w:val="left"/>
            </w:pPr>
            <w:r>
              <w:rPr>
                <w:rFonts w:ascii="Arial" w:hAnsi="Arial"/>
                <w:b w:val="0"/>
                <w:sz w:val="22"/>
              </w:rPr>
              <w:t>Propuesta: dejar registro explícito del Sprint Goal y razones de ajustes; realizar Review y Retrospective dentro de la cadencia acordada. Seguimiento sugerido: equipo completo, facilitado por Francheska. Verificación: fechas, actas, revisión del incremento y acuerdos confirmados.</w:t>
            </w:r>
          </w:p>
        </w:tc>
      </w:tr>
    </w:tbl>
    <w:p>
      <w:pPr>
        <w:spacing w:line="360" w:lineRule="auto" w:after="40" w:before="40"/>
        <w:ind w:firstLine="0"/>
        <w:jc w:val="left"/>
      </w:pPr>
      <w:r>
        <w:rPr>
          <w:rFonts w:ascii="Arial" w:hAnsi="Arial"/>
          <w:b w:val="0"/>
          <w:sz w:val="22"/>
        </w:rPr>
        <w:t>VALIDACIÓN DEL EQUIPO (pendiente): fecha y modalidad de la retrospectiva: __________  |  participantes: __________  |  causa del cierre anticipado de Jira: __________  |  acuerdos, responsables y fecha de revisión: __________. Sin esos datos, este documento es preparatorio.</w:t>
      </w:r>
      <w:r>
        <w:rPr>
          <w:rFonts w:ascii="Arial" w:hAnsi="Arial"/>
          <w:b w:val="0"/>
          <w:sz w:val="22"/>
        </w:rPr>
      </w:r>
    </w:p>
    <w:p>
      <w:pPr>
        <w:spacing w:after="0" w:line="360" w:lineRule="auto"/>
      </w:pPr>
    </w:p>
    <w:p>
      <w:pPr>
        <w:spacing w:line="360" w:lineRule="auto" w:after="40" w:before="40"/>
        <w:ind w:firstLine="0"/>
        <w:jc w:val="left"/>
      </w:pPr>
      <w:r>
        <w:rPr>
          <w:rFonts w:ascii="Arial" w:hAnsi="Arial"/>
          <w:b w:val="0"/>
          <w:sz w:val="22"/>
        </w:rPr>
        <w:t>Fuentes de verificación: Jira LBWUS (Sprints y tareas citadas); repositorio github.com/Haekz/Capstone; Scrum Guide (Schwaber y Sutherland, 2020).</w:t>
      </w:r>
      <w:r>
        <w:rPr>
          <w:rFonts w:ascii="Arial" w:hAnsi="Arial"/>
          <w:b w:val="0"/>
          <w:sz w:val="22"/>
        </w:rPr>
      </w:r>
    </w:p>
    <w:sectPr w:rsidR="00FC693F" w:rsidRPr="0006063C" w:rsidSect="00034616">
      <w:headerReference w:type="default" r:id="rId9"/>
      <w:footerReference w:type="default" r:id="rId10"/>
      <w:pgSz w:w="11906" w:h="16838"/>
      <w:pgMar w:top="1502" w:right="1644" w:bottom="1191" w:left="1701" w:header="454"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504" w:val="right"/>
      </w:tabs>
      <w:spacing w:after="0" w:line="240" w:lineRule="auto"/>
      <w:jc w:val="left"/>
    </w:pPr>
    <w:r>
      <w:drawing>
        <wp:inline xmlns:a="http://schemas.openxmlformats.org/drawingml/2006/main" xmlns:pic="http://schemas.openxmlformats.org/drawingml/2006/picture">
          <wp:extent cx="972000" cy="210497"/>
          <wp:docPr id="1" name="Picture 1"/>
          <wp:cNvGraphicFramePr>
            <a:graphicFrameLocks noChangeAspect="1"/>
          </wp:cNvGraphicFramePr>
          <a:graphic>
            <a:graphicData uri="http://schemas.openxmlformats.org/drawingml/2006/picture">
              <pic:pic>
                <pic:nvPicPr>
                  <pic:cNvPr id="0" name="image5.png"/>
                  <pic:cNvPicPr/>
                </pic:nvPicPr>
                <pic:blipFill>
                  <a:blip r:embed="rId1"/>
                  <a:stretch>
                    <a:fillRect/>
                  </a:stretch>
                </pic:blipFill>
                <pic:spPr>
                  <a:xfrm>
                    <a:off x="0" y="0"/>
                    <a:ext cx="972000" cy="210497"/>
                  </a:xfrm>
                  <a:prstGeom prst="rect"/>
                </pic:spPr>
              </pic:pic>
            </a:graphicData>
          </a:graphic>
        </wp:inline>
      </w:drawing>
    </w:r>
    <w:r>
      <w:tab/>
    </w:r>
    <w:r>
      <w:rPr>
        <w:rFonts w:ascii="Arial" w:hAnsi="Arial"/>
        <w:color w:val="202A31"/>
        <w:sz w:val="22"/>
      </w:rPr>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40"/>
      <w:ind w:firstLine="709"/>
    </w:pPr>
    <w:rPr>
      <w:rFonts w:ascii="Arial" w:hAnsi="Arial"/>
      <w:color w:val="202A3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line="360" w:lineRule="auto"/>
      <w:ind w:firstLine="0"/>
      <w:outlineLvl w:val="0"/>
    </w:pPr>
    <w:rPr>
      <w:rFonts w:asciiTheme="majorHAnsi" w:eastAsiaTheme="majorEastAsia" w:hAnsiTheme="majorHAnsi" w:cstheme="majorBidi" w:ascii="Arial" w:hAnsi="Arial"/>
      <w:b/>
      <w:bCs/>
      <w:color w:val="24546A"/>
      <w:sz w:val="24"/>
      <w:szCs w:val="28"/>
    </w:rPr>
  </w:style>
  <w:style w:type="paragraph" w:styleId="Heading2">
    <w:name w:val="heading 2"/>
    <w:basedOn w:val="Normal"/>
    <w:next w:val="Normal"/>
    <w:link w:val="Heading2Char"/>
    <w:uiPriority w:val="9"/>
    <w:unhideWhenUsed/>
    <w:qFormat/>
    <w:rsid w:val="00FC693F"/>
    <w:pPr>
      <w:keepNext/>
      <w:keepLines/>
      <w:spacing w:before="240" w:after="160" w:line="360" w:lineRule="auto"/>
      <w:ind w:firstLine="0"/>
      <w:outlineLvl w:val="1"/>
    </w:pPr>
    <w:rPr>
      <w:rFonts w:asciiTheme="majorHAnsi" w:eastAsiaTheme="majorEastAsia" w:hAnsiTheme="majorHAnsi" w:cstheme="majorBidi" w:ascii="Arial" w:hAnsi="Arial"/>
      <w:b/>
      <w:bCs/>
      <w:color w:val="24546A"/>
      <w:sz w:val="22"/>
      <w:szCs w:val="26"/>
    </w:rPr>
  </w:style>
  <w:style w:type="paragraph" w:styleId="Heading3">
    <w:name w:val="heading 3"/>
    <w:basedOn w:val="Normal"/>
    <w:next w:val="Normal"/>
    <w:link w:val="Heading3Char"/>
    <w:uiPriority w:val="9"/>
    <w:unhideWhenUsed/>
    <w:qFormat/>
    <w:rsid w:val="00FC693F"/>
    <w:pPr>
      <w:keepNext/>
      <w:keepLines/>
      <w:spacing w:before="180" w:after="120" w:line="360" w:lineRule="auto"/>
      <w:ind w:firstLine="0"/>
      <w:outlineLvl w:val="2"/>
    </w:pPr>
    <w:rPr>
      <w:rFonts w:asciiTheme="majorHAnsi" w:eastAsiaTheme="majorEastAsia" w:hAnsiTheme="majorHAnsi" w:cstheme="majorBidi" w:ascii="Arial" w:hAnsi="Arial"/>
      <w:b/>
      <w:bCs/>
      <w:color w:val="24546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Label">
    <w:name w:val="Meta Label"/>
    <w:basedOn w:val="Normal"/>
    <w:pPr>
      <w:spacing w:line="276" w:lineRule="auto" w:after="80"/>
      <w:ind w:firstLine="0"/>
    </w:pPr>
    <w:rPr>
      <w:rFonts w:ascii="Arial" w:hAnsi="Arial"/>
      <w:b/>
      <w:color w:val="24546A"/>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Retrospectiva del Sprint 2 – LBWUS</dc:title>
  <dc:subject>Documento individual de retrospectiva para revisión del equipo</dc:subject>
  <dc:creator>Equipo LBWUS</dc:creator>
  <cp:keywords/>
  <dc:description>generated by python-docx</dc:description>
  <cp:lastModifiedBy/>
  <cp:revision>1</cp:revision>
  <dcterms:created xsi:type="dcterms:W3CDTF">2013-12-23T23:15:00Z</dcterms:created>
  <dcterms:modified xsi:type="dcterms:W3CDTF">2013-12-23T23:15:00Z</dcterms:modified>
  <cp:category/>
</cp:coreProperties>
</file>