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38A2A" w14:textId="77777777" w:rsidR="00C63940" w:rsidRDefault="00000000">
      <w:pPr>
        <w:spacing w:after="80"/>
      </w:pPr>
      <w:r>
        <w:rPr>
          <w:rFonts w:ascii="Calibri" w:eastAsia="Calibri" w:hAnsi="Calibri"/>
          <w:b/>
          <w:color w:val="006AFF"/>
          <w:sz w:val="36"/>
        </w:rPr>
        <w:t>Sua empresa já ajustou o SAP para a reforma tributária. O modelo de orçamento no SAC também foi?</w:t>
      </w:r>
    </w:p>
    <w:p w14:paraId="0BD85975" w14:textId="77777777" w:rsidR="00C63940" w:rsidRDefault="00000000">
      <w:pPr>
        <w:spacing w:after="40"/>
      </w:pPr>
      <w:r>
        <w:rPr>
          <w:rFonts w:ascii="Calibri" w:eastAsia="Calibri" w:hAnsi="Calibri"/>
          <w:i/>
          <w:color w:val="404040"/>
          <w:sz w:val="20"/>
        </w:rPr>
        <w:t>Autor: Alexandre Kuntgen, Partner na Solveplan</w:t>
      </w:r>
    </w:p>
    <w:p w14:paraId="05EC9C13" w14:textId="77777777" w:rsidR="00C63940" w:rsidRDefault="00000000">
      <w:pPr>
        <w:spacing w:after="40"/>
      </w:pPr>
      <w:r>
        <w:rPr>
          <w:rFonts w:ascii="Calibri" w:eastAsia="Calibri" w:hAnsi="Calibri"/>
          <w:i/>
          <w:color w:val="404040"/>
          <w:sz w:val="20"/>
        </w:rPr>
        <w:t>Formato: Artigo LinkedIn (long-form)</w:t>
      </w:r>
    </w:p>
    <w:p w14:paraId="79C480D5" w14:textId="77777777" w:rsidR="00E738F5" w:rsidRDefault="00E738F5">
      <w:pPr>
        <w:spacing w:after="160"/>
        <w:rPr>
          <w:rFonts w:ascii="Calibri" w:eastAsia="Calibri" w:hAnsi="Calibri"/>
        </w:rPr>
      </w:pPr>
    </w:p>
    <w:p w14:paraId="612C2BB7" w14:textId="50CA3E4A" w:rsidR="00C63940" w:rsidRDefault="00000000">
      <w:pPr>
        <w:spacing w:after="160"/>
      </w:pPr>
      <w:r>
        <w:rPr>
          <w:rFonts w:ascii="Calibri" w:eastAsia="Calibri" w:hAnsi="Calibri"/>
        </w:rPr>
        <w:t xml:space="preserve">Nas </w:t>
      </w:r>
      <w:proofErr w:type="spellStart"/>
      <w:r>
        <w:rPr>
          <w:rFonts w:ascii="Calibri" w:eastAsia="Calibri" w:hAnsi="Calibri"/>
        </w:rPr>
        <w:t>últimas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semanas</w:t>
      </w:r>
      <w:proofErr w:type="spellEnd"/>
      <w:r>
        <w:rPr>
          <w:rFonts w:ascii="Calibri" w:eastAsia="Calibri" w:hAnsi="Calibri"/>
        </w:rPr>
        <w:t xml:space="preserve"> </w:t>
      </w:r>
      <w:proofErr w:type="spellStart"/>
      <w:r>
        <w:rPr>
          <w:rFonts w:ascii="Calibri" w:eastAsia="Calibri" w:hAnsi="Calibri"/>
        </w:rPr>
        <w:t>ouço</w:t>
      </w:r>
      <w:proofErr w:type="spellEnd"/>
      <w:r>
        <w:rPr>
          <w:rFonts w:ascii="Calibri" w:eastAsia="Calibri" w:hAnsi="Calibri"/>
        </w:rPr>
        <w:t xml:space="preserve"> a mesma frase de CFOs e </w:t>
      </w:r>
      <w:proofErr w:type="gramStart"/>
      <w:r>
        <w:rPr>
          <w:rFonts w:ascii="Calibri" w:eastAsia="Calibri" w:hAnsi="Calibri"/>
        </w:rPr>
        <w:t>controllers</w:t>
      </w:r>
      <w:proofErr w:type="gramEnd"/>
      <w:r>
        <w:rPr>
          <w:rFonts w:ascii="Calibri" w:eastAsia="Calibri" w:hAnsi="Calibri"/>
        </w:rPr>
        <w:t xml:space="preserve"> que já rodam SAP Analytics Cloud para planejamento: "a gente já ajustou o SAP pra IBS e CBS." Ajustaram o ERP. Aplicaram as SAP Notes, revisaram CFOP, testaram a nota fiscal.</w:t>
      </w:r>
    </w:p>
    <w:p w14:paraId="7695E8C3" w14:textId="77777777" w:rsidR="00C63940" w:rsidRDefault="00000000">
      <w:pPr>
        <w:spacing w:after="160"/>
      </w:pPr>
      <w:r>
        <w:rPr>
          <w:rFonts w:ascii="Calibri" w:eastAsia="Calibri" w:hAnsi="Calibri"/>
        </w:rPr>
        <w:t>O modelo de orçamento, na maioria dos casos, continua rodando com a lógica tributária antiga.</w:t>
      </w:r>
    </w:p>
    <w:p w14:paraId="700F8682" w14:textId="77777777" w:rsidR="00C63940" w:rsidRDefault="00000000">
      <w:pPr>
        <w:spacing w:after="160"/>
      </w:pPr>
      <w:r>
        <w:rPr>
          <w:rFonts w:ascii="Calibri" w:eastAsia="Calibri" w:hAnsi="Calibri"/>
          <w:b/>
        </w:rPr>
        <w:t>Impacto da reforma tributária no orçamento</w:t>
      </w:r>
      <w:r>
        <w:rPr>
          <w:rFonts w:ascii="Calibri" w:eastAsia="Calibri" w:hAnsi="Calibri"/>
        </w:rPr>
        <w:t xml:space="preserve"> é o conjunto de mudanças que a transição para IBS e CBS impõe às premissas do modelo de planejamento financeiro — receita líquida no lugar de receita bruta, ciclo de caixa mais curto, margem recalculada — independente de o ERP já emitir a nota fiscal corretamente. É um problema de modelo, não de sistema transacional.</w:t>
      </w:r>
    </w:p>
    <w:p w14:paraId="1EA82B3B" w14:textId="77777777" w:rsidR="00C63940" w:rsidRDefault="00000000">
      <w:pPr>
        <w:spacing w:after="120"/>
      </w:pPr>
      <w:r>
        <w:rPr>
          <w:rFonts w:ascii="Calibri" w:eastAsia="Calibri" w:hAnsi="Calibri"/>
          <w:b/>
          <w:color w:val="006AFF"/>
          <w:sz w:val="26"/>
        </w:rPr>
        <w:t>Ajustar o SAP resolve a nota fiscal. Não resolve o orçamento</w:t>
      </w:r>
    </w:p>
    <w:p w14:paraId="348F2F9B" w14:textId="77777777" w:rsidR="00C63940" w:rsidRDefault="00000000">
      <w:pPr>
        <w:spacing w:after="160"/>
      </w:pPr>
      <w:r>
        <w:rPr>
          <w:rFonts w:ascii="Calibri" w:eastAsia="Calibri" w:hAnsi="Calibri"/>
        </w:rPr>
        <w:t>O trabalho que a maioria das empresas já fez em 2026 foi de compliance fiscal: atualizar tabelas de imposto, sequências de acesso, layout de XML, para que a operação continue emitindo documento fiscal válido. É trabalho de TI e fiscal, necessário e urgente.</w:t>
      </w:r>
    </w:p>
    <w:p w14:paraId="7422177C" w14:textId="77777777" w:rsidR="00C63940" w:rsidRDefault="00000000">
      <w:pPr>
        <w:spacing w:after="160"/>
      </w:pPr>
      <w:r>
        <w:rPr>
          <w:rFonts w:ascii="Calibri" w:eastAsia="Calibri" w:hAnsi="Calibri"/>
        </w:rPr>
        <w:t xml:space="preserve">A Volkswagen do Brasil tratou esse movimento como programa formal, não como patch de sistema — modernizou a gestão fiscal com </w:t>
      </w:r>
      <w:hyperlink r:id="rId6" w:history="1">
        <w:r>
          <w:rPr>
            <w:rFonts w:ascii="Calibri" w:eastAsia="Calibri" w:hAnsi="Calibri"/>
            <w:color w:val="006AFF"/>
            <w:u w:val="single"/>
          </w:rPr>
          <w:t>SAP Document and Reporting Compliance</w:t>
        </w:r>
      </w:hyperlink>
      <w:r>
        <w:rPr>
          <w:rFonts w:ascii="Calibri" w:eastAsia="Calibri" w:hAnsi="Calibri"/>
        </w:rPr>
        <w:t xml:space="preserve"> como pré-requisito tecnológico para a reforma. Como resumiu Jackson Borges, VP Regional de Finanças da SAP América Latina, sobre esse tipo de movimento: "a evolução para plataformas em nuvem e soluções integradas é fundamental."</w:t>
      </w:r>
    </w:p>
    <w:p w14:paraId="5AEBE981" w14:textId="77777777" w:rsidR="00C63940" w:rsidRDefault="00000000">
      <w:pPr>
        <w:spacing w:after="160"/>
      </w:pPr>
      <w:r>
        <w:rPr>
          <w:rFonts w:ascii="Calibri" w:eastAsia="Calibri" w:hAnsi="Calibri"/>
        </w:rPr>
        <w:t>O ponto que costuma ficar de fora desse programa é o modelo de planejamento. Se o orçamento da sua empresa roda no SAP Analytics Cloud, ele tem lógica própria de alíquota, de composição de receita e de margem — parametrizada há anos, sob o regime de ICMS, PIS e COFINS. Corrigir o ERP não corrige essa lógica. Alguém precisa remapear o modelo.</w:t>
      </w:r>
    </w:p>
    <w:p w14:paraId="2769E4A3" w14:textId="77777777" w:rsidR="00C63940" w:rsidRDefault="00000000">
      <w:pPr>
        <w:spacing w:after="120"/>
      </w:pPr>
      <w:r>
        <w:rPr>
          <w:rFonts w:ascii="Calibri" w:eastAsia="Calibri" w:hAnsi="Calibri"/>
          <w:b/>
          <w:color w:val="006AFF"/>
          <w:sz w:val="26"/>
        </w:rPr>
        <w:t>O que muda de fato na conta</w:t>
      </w:r>
    </w:p>
    <w:p w14:paraId="247514D6" w14:textId="77777777" w:rsidR="00C63940" w:rsidRDefault="00000000">
      <w:pPr>
        <w:spacing w:after="160"/>
      </w:pPr>
      <w:r>
        <w:rPr>
          <w:rFonts w:ascii="Calibri" w:eastAsia="Calibri" w:hAnsi="Calibri"/>
        </w:rPr>
        <w:t xml:space="preserve">Com o </w:t>
      </w:r>
      <w:hyperlink r:id="rId7" w:history="1">
        <w:r>
          <w:rPr>
            <w:rFonts w:ascii="Calibri" w:eastAsia="Calibri" w:hAnsi="Calibri"/>
            <w:color w:val="006AFF"/>
            <w:u w:val="single"/>
          </w:rPr>
          <w:t>split payment</w:t>
        </w:r>
      </w:hyperlink>
      <w:r>
        <w:rPr>
          <w:rFonts w:ascii="Calibri" w:eastAsia="Calibri" w:hAnsi="Calibri"/>
        </w:rPr>
        <w:t>, o tributo é retido no momento da liquidação financeira. Isso muda a base da receita: o modelo deixa de trabalhar sobre valor bruto e passa a considerar o valor líquido, já descontado de IBS e CBS. Se a fórmula de receita do seu modelo em SAC ainda assume entrada bruta, a projeção de caixa nasce errada.</w:t>
      </w:r>
    </w:p>
    <w:p w14:paraId="3AAD247E" w14:textId="77777777" w:rsidR="00C63940" w:rsidRDefault="00000000">
      <w:pPr>
        <w:spacing w:after="160"/>
      </w:pPr>
      <w:r>
        <w:rPr>
          <w:rFonts w:ascii="Calibri" w:eastAsia="Calibri" w:hAnsi="Calibri"/>
        </w:rPr>
        <w:t xml:space="preserve">A alíquota combinada estimada de IBS e CBS gira em torno de </w:t>
      </w:r>
      <w:hyperlink r:id="rId8" w:history="1">
        <w:r>
          <w:rPr>
            <w:rFonts w:ascii="Calibri" w:eastAsia="Calibri" w:hAnsi="Calibri"/>
            <w:color w:val="006AFF"/>
            <w:u w:val="single"/>
          </w:rPr>
          <w:t>26,5%</w:t>
        </w:r>
      </w:hyperlink>
      <w:r>
        <w:rPr>
          <w:rFonts w:ascii="Calibri" w:eastAsia="Calibri" w:hAnsi="Calibri"/>
        </w:rPr>
        <w:t xml:space="preserve"> — mas incide sobre valor líquido, já descontados os créditos tributários da não cumulatividade plena. Isso significa que a margem projetada no modelo antigo, calculada sob a lógica cumulativa de PIS/COFINS, não reflete mais a estrutura de custo real da operação.</w:t>
      </w:r>
    </w:p>
    <w:p w14:paraId="1F5DCBF1" w14:textId="77777777" w:rsidR="00C63940" w:rsidRDefault="00000000">
      <w:pPr>
        <w:spacing w:after="160"/>
      </w:pPr>
      <w:r>
        <w:rPr>
          <w:rFonts w:ascii="Calibri" w:eastAsia="Calibri" w:hAnsi="Calibri"/>
        </w:rPr>
        <w:lastRenderedPageBreak/>
        <w:t xml:space="preserve">E o efeito não para na margem. Um estudo da </w:t>
      </w:r>
      <w:hyperlink r:id="rId9" w:history="1">
        <w:r>
          <w:rPr>
            <w:rFonts w:ascii="Calibri" w:eastAsia="Calibri" w:hAnsi="Calibri"/>
            <w:color w:val="006AFF"/>
            <w:u w:val="single"/>
          </w:rPr>
          <w:t>Tax Group</w:t>
        </w:r>
      </w:hyperlink>
      <w:r>
        <w:rPr>
          <w:rFonts w:ascii="Calibri" w:eastAsia="Calibri" w:hAnsi="Calibri"/>
        </w:rPr>
        <w:t xml:space="preserve"> de agosto de 2026 estima que cerca de 981 mil empresas — 56,2% do universo de 1,75 milhão de empresas no lucro real e presumido — têm potencial de piora no fluxo de caixa com o split payment, pela perda do float entre o recebimento da venda e o recolhimento do imposto. A conta: R$ 117 bilhões em capital de giro adicional necessário, com custo financeiro nacional estimado entre R$ 32 e R$ 38 bilhões por ano.</w:t>
      </w:r>
    </w:p>
    <w:p w14:paraId="6C65B20B" w14:textId="77777777" w:rsidR="00C63940" w:rsidRDefault="00000000">
      <w:pPr>
        <w:spacing w:after="160"/>
      </w:pPr>
      <w:r>
        <w:rPr>
          <w:rFonts w:ascii="Calibri" w:eastAsia="Calibri" w:hAnsi="Calibri"/>
        </w:rPr>
        <w:t>Nenhum desses números aparece automaticamente no seu modelo de orçamento só porque o ERP está em conformidade.</w:t>
      </w:r>
    </w:p>
    <w:p w14:paraId="146C3381" w14:textId="77777777" w:rsidR="00C63940" w:rsidRDefault="00000000">
      <w:pPr>
        <w:spacing w:after="120"/>
      </w:pPr>
      <w:r>
        <w:rPr>
          <w:rFonts w:ascii="Calibri" w:eastAsia="Calibri" w:hAnsi="Calibri"/>
          <w:b/>
          <w:color w:val="006AFF"/>
          <w:sz w:val="26"/>
        </w:rPr>
        <w:t>O prazo não é 2033, é agora</w:t>
      </w:r>
    </w:p>
    <w:p w14:paraId="160097BC" w14:textId="77777777" w:rsidR="00C63940" w:rsidRDefault="00000000">
      <w:pPr>
        <w:spacing w:after="160"/>
      </w:pPr>
      <w:r>
        <w:rPr>
          <w:rFonts w:ascii="Calibri" w:eastAsia="Calibri" w:hAnsi="Calibri"/>
        </w:rPr>
        <w:t xml:space="preserve">O cronograma de sete anos até o modelo consolidado em 2033 passa a impressão de que dá tempo. Não dá, para o orçamento. 2026 já é ano de teste, com CBS e IBS cobrados a alíquota simbólica desde janeiro. </w:t>
      </w:r>
      <w:hyperlink r:id="rId10" w:history="1">
        <w:r>
          <w:rPr>
            <w:rFonts w:ascii="Calibri" w:eastAsia="Calibri" w:hAnsi="Calibri"/>
            <w:color w:val="006AFF"/>
            <w:u w:val="single"/>
          </w:rPr>
          <w:t>O Comitê Gestor do IBS e a Receita Federal já publicaram o calendário de obrigatoriedade dos documentos fiscais eletrônicos</w:t>
        </w:r>
      </w:hyperlink>
      <w:r>
        <w:rPr>
          <w:rFonts w:ascii="Calibri" w:eastAsia="Calibri" w:hAnsi="Calibri"/>
        </w:rPr>
        <w:t>: NF-e, NFC-e e CT-e a partir de agosto de 2026, NFS-e em outubro, e o restante das operações até janeiro de 2027 — quando a CBS passa a valer com alíquota cheia e PIS/COFINS são extintos.</w:t>
      </w:r>
    </w:p>
    <w:p w14:paraId="2FC9BFCB" w14:textId="77777777" w:rsidR="00C63940" w:rsidRDefault="00000000">
      <w:pPr>
        <w:spacing w:after="160"/>
      </w:pPr>
      <w:r>
        <w:rPr>
          <w:rFonts w:ascii="Calibri" w:eastAsia="Calibri" w:hAnsi="Calibri"/>
        </w:rPr>
        <w:t xml:space="preserve">Ao contrário do que aconteceu com o ERP, que teve ano inteiro de SAP Notes e correção guiada, não existe pacote de atualização automática para o modelo de planejamento. </w:t>
      </w:r>
      <w:hyperlink r:id="rId11" w:history="1">
        <w:r>
          <w:rPr>
            <w:rFonts w:ascii="Calibri" w:eastAsia="Calibri" w:hAnsi="Calibri"/>
            <w:color w:val="006AFF"/>
            <w:u w:val="single"/>
          </w:rPr>
          <w:t>Uma pesquisa da IOB com mais de 4.500 empresas do regime regular</w:t>
        </w:r>
      </w:hyperlink>
      <w:r>
        <w:rPr>
          <w:rFonts w:ascii="Calibri" w:eastAsia="Calibri" w:hAnsi="Calibri"/>
        </w:rPr>
        <w:t xml:space="preserve"> encontrou inconsistência cadastral ou tributária em 93% dos produtos analisados na adaptação ao IBS e CBS — e isso é só o cadastro fiscal. O orçamento constrói em cima desse dado.</w:t>
      </w:r>
    </w:p>
    <w:p w14:paraId="69CFA6EF" w14:textId="77777777" w:rsidR="00C63940" w:rsidRDefault="00000000">
      <w:pPr>
        <w:spacing w:after="120"/>
      </w:pPr>
      <w:r>
        <w:rPr>
          <w:rFonts w:ascii="Calibri" w:eastAsia="Calibri" w:hAnsi="Calibri"/>
          <w:b/>
          <w:color w:val="006AFF"/>
          <w:sz w:val="26"/>
        </w:rPr>
        <w:t>O que eu recomendo pra quem já tem o modelo em SAC</w:t>
      </w:r>
    </w:p>
    <w:p w14:paraId="5E441702" w14:textId="77777777" w:rsidR="00C63940" w:rsidRDefault="00000000">
      <w:pPr>
        <w:spacing w:after="160"/>
      </w:pPr>
      <w:r>
        <w:rPr>
          <w:rFonts w:ascii="Calibri" w:eastAsia="Calibri" w:hAnsi="Calibri"/>
        </w:rPr>
        <w:t>Se a sua empresa já usa SAP Analytics Cloud para o ciclo de orçamento e forecast, o caminho recomendado é tratar a revisão do modelo como projeto formal, com dono e prazo — não como ajuste que "a equipe de planejamento faz quando sobrar tempo". Isso significa remapear a lógica de alíquota nas data actions e fórmulas do modelo, redefinir receita e margem sobre base líquida, e incorporar cenário de capital de giro para o efeito do split payment antes de 2027.</w:t>
      </w:r>
    </w:p>
    <w:p w14:paraId="75338F0D" w14:textId="77777777" w:rsidR="00C63940" w:rsidRDefault="00000000">
      <w:pPr>
        <w:spacing w:after="160"/>
      </w:pPr>
      <w:r>
        <w:rPr>
          <w:rFonts w:ascii="Calibri" w:eastAsia="Calibri" w:hAnsi="Calibri"/>
        </w:rPr>
        <w:t>A Solveplan tem trabalhado com empresas nesse exato ponto de virada: ambiente SAP Analytics Cloud maduro, mas modelo de premissas desatualizado em relação à reforma. O diagnóstico costuma revelar o mesmo padrão — o sistema está pronto, o modelo não está.</w:t>
      </w:r>
    </w:p>
    <w:p w14:paraId="5603D211" w14:textId="77777777" w:rsidR="00C63940" w:rsidRDefault="00000000">
      <w:pPr>
        <w:spacing w:after="120"/>
      </w:pPr>
      <w:r>
        <w:rPr>
          <w:rFonts w:ascii="Calibri" w:eastAsia="Calibri" w:hAnsi="Calibri"/>
          <w:b/>
          <w:color w:val="006AFF"/>
          <w:sz w:val="26"/>
        </w:rPr>
        <w:t>Perguntas frequentes</w:t>
      </w:r>
    </w:p>
    <w:p w14:paraId="6B9EC930" w14:textId="77777777" w:rsidR="00C63940" w:rsidRDefault="00000000">
      <w:pPr>
        <w:spacing w:after="120"/>
      </w:pPr>
      <w:r>
        <w:rPr>
          <w:rFonts w:ascii="Calibri" w:eastAsia="Calibri" w:hAnsi="Calibri"/>
          <w:b/>
          <w:color w:val="006AFF"/>
          <w:sz w:val="26"/>
        </w:rPr>
        <w:t>Se o ERP já está ajustado para IBS e CBS, o orçamento no SAC também está?</w:t>
      </w:r>
    </w:p>
    <w:p w14:paraId="45992FAC" w14:textId="77777777" w:rsidR="00C63940" w:rsidRDefault="00000000">
      <w:pPr>
        <w:spacing w:after="160"/>
      </w:pPr>
      <w:r>
        <w:rPr>
          <w:rFonts w:ascii="Calibri" w:eastAsia="Calibri" w:hAnsi="Calibri"/>
        </w:rPr>
        <w:t>Não necessariamente. O ajuste no ERP corrige a emissão fiscal. O modelo de orçamento tem lógica própria de alíquota e composição de receita, parametrizada separadamente, e precisa de revisão específica.</w:t>
      </w:r>
    </w:p>
    <w:p w14:paraId="20C6AF6E" w14:textId="77777777" w:rsidR="00C63940" w:rsidRDefault="00000000">
      <w:pPr>
        <w:spacing w:after="120"/>
      </w:pPr>
      <w:r>
        <w:rPr>
          <w:rFonts w:ascii="Calibri" w:eastAsia="Calibri" w:hAnsi="Calibri"/>
          <w:b/>
          <w:color w:val="006AFF"/>
          <w:sz w:val="26"/>
        </w:rPr>
        <w:t>Qual o principal risco para quem não revisar o modelo de orçamento?</w:t>
      </w:r>
    </w:p>
    <w:p w14:paraId="0144CF8E" w14:textId="77777777" w:rsidR="00C63940" w:rsidRDefault="00000000">
      <w:pPr>
        <w:spacing w:after="160"/>
      </w:pPr>
      <w:r>
        <w:rPr>
          <w:rFonts w:ascii="Calibri" w:eastAsia="Calibri" w:hAnsi="Calibri"/>
        </w:rPr>
        <w:lastRenderedPageBreak/>
        <w:t>Projetar receita, margem e caixa sobre premissas de um regime tributário que está sendo extinto — gerando forecast estruturalmente errado a partir de 2027, quando a CBS passa a valer com alíquota cheia.</w:t>
      </w:r>
    </w:p>
    <w:p w14:paraId="47DB1DBA" w14:textId="77777777" w:rsidR="00C63940" w:rsidRDefault="00000000">
      <w:pPr>
        <w:spacing w:after="120"/>
      </w:pPr>
      <w:r>
        <w:rPr>
          <w:rFonts w:ascii="Calibri" w:eastAsia="Calibri" w:hAnsi="Calibri"/>
          <w:b/>
          <w:color w:val="006AFF"/>
          <w:sz w:val="26"/>
        </w:rPr>
        <w:t>O split payment afeta todas as empresas do mesmo jeito?</w:t>
      </w:r>
    </w:p>
    <w:p w14:paraId="3C1049AE" w14:textId="77777777" w:rsidR="00C63940" w:rsidRDefault="00000000">
      <w:pPr>
        <w:spacing w:after="160"/>
      </w:pPr>
      <w:r>
        <w:rPr>
          <w:rFonts w:ascii="Calibri" w:eastAsia="Calibri" w:hAnsi="Calibri"/>
        </w:rPr>
        <w:t>Não. O impacto é maior em empresas com prazo de recebimento longo ou vendas parceladas, que hoje usam o intervalo entre venda e recolhimento do imposto como capital de giro informal.</w:t>
      </w:r>
    </w:p>
    <w:p w14:paraId="57E766BC" w14:textId="77777777" w:rsidR="00C63940" w:rsidRDefault="00000000">
      <w:pPr>
        <w:spacing w:after="120"/>
      </w:pPr>
      <w:r>
        <w:rPr>
          <w:rFonts w:ascii="Calibri" w:eastAsia="Calibri" w:hAnsi="Calibri"/>
          <w:b/>
          <w:color w:val="006AFF"/>
          <w:sz w:val="26"/>
        </w:rPr>
        <w:t>Quando isso precisa estar pronto?</w:t>
      </w:r>
    </w:p>
    <w:p w14:paraId="635D21EC" w14:textId="77777777" w:rsidR="00C63940" w:rsidRDefault="00000000">
      <w:pPr>
        <w:spacing w:after="160"/>
      </w:pPr>
      <w:r>
        <w:rPr>
          <w:rFonts w:ascii="Calibri" w:eastAsia="Calibri" w:hAnsi="Calibri"/>
        </w:rPr>
        <w:t>O calendário oficial prevê obrigatoriedade escalonada de documentos fiscais entre agosto de 2026 e janeiro de 2027. O modelo de orçamento deveria estar revisado antes da CBS entrar em vigor com alíquota cheia, em 2027.</w:t>
      </w:r>
    </w:p>
    <w:p w14:paraId="06EB3C98" w14:textId="77777777" w:rsidR="00C63940" w:rsidRDefault="00000000">
      <w:pPr>
        <w:spacing w:after="160"/>
      </w:pPr>
      <w:r>
        <w:rPr>
          <w:rFonts w:ascii="Calibri" w:eastAsia="Calibri" w:hAnsi="Calibri"/>
        </w:rPr>
        <w:t>Sua empresa já ajustou o SAP. E o modelo de orçamento, já foi revisado pra nova base tributária?</w:t>
      </w:r>
    </w:p>
    <w:p w14:paraId="09804F3D" w14:textId="77777777" w:rsidR="00C63940" w:rsidRDefault="00000000">
      <w:pPr>
        <w:spacing w:after="160"/>
      </w:pPr>
      <w:r>
        <w:rPr>
          <w:rFonts w:ascii="Calibri" w:eastAsia="Calibri" w:hAnsi="Calibri"/>
        </w:rPr>
        <w:t>Se esse é um ponto em aberto no seu ambiente SAP Analytics Cloud, vale uma conversa. A Solveplan avalia a maturidade do modelo de planejamento frente à reforma tributária e estrutura a revisão com cronograma e critério de sucesso definidos.</w:t>
      </w:r>
    </w:p>
    <w:p w14:paraId="1A6C9D98" w14:textId="77777777" w:rsidR="00C63940" w:rsidRDefault="00000000">
      <w:pPr>
        <w:spacing w:after="160"/>
      </w:pPr>
      <w:hyperlink r:id="rId12" w:history="1">
        <w:r>
          <w:rPr>
            <w:rFonts w:ascii="Calibri" w:eastAsia="Calibri" w:hAnsi="Calibri"/>
            <w:b/>
            <w:color w:val="006AFF"/>
            <w:u w:val="single"/>
          </w:rPr>
          <w:t>Avalie a maturidade dos seus dados com a Solveplan</w:t>
        </w:r>
      </w:hyperlink>
    </w:p>
    <w:p w14:paraId="53E6A02B" w14:textId="77777777" w:rsidR="00C63940" w:rsidRDefault="00000000">
      <w:pPr>
        <w:spacing w:after="120"/>
      </w:pPr>
      <w:r>
        <w:rPr>
          <w:rFonts w:ascii="Calibri" w:eastAsia="Calibri" w:hAnsi="Calibri"/>
          <w:b/>
          <w:color w:val="006AFF"/>
          <w:sz w:val="26"/>
        </w:rPr>
        <w:t>Fontes</w:t>
      </w:r>
    </w:p>
    <w:p w14:paraId="519B6431" w14:textId="77777777" w:rsidR="00C63940" w:rsidRDefault="00000000">
      <w:pPr>
        <w:spacing w:after="80"/>
      </w:pPr>
      <w:r>
        <w:rPr>
          <w:rFonts w:ascii="Calibri" w:eastAsia="Calibri" w:hAnsi="Calibri"/>
          <w:color w:val="555555"/>
          <w:sz w:val="20"/>
        </w:rPr>
        <w:t xml:space="preserve">• Receita Federal / Comitê Gestor do IBS — Cronograma de Implementação dos Documentos Fiscais Eletrônicos da Reforma Tributária do Consumo — </w:t>
      </w:r>
      <w:hyperlink r:id="rId13" w:history="1">
        <w:r>
          <w:rPr>
            <w:rFonts w:ascii="Calibri" w:eastAsia="Calibri" w:hAnsi="Calibri"/>
            <w:color w:val="006AFF"/>
            <w:sz w:val="20"/>
            <w:u w:val="single"/>
          </w:rPr>
          <w:t>gov.br/receitafederal</w:t>
        </w:r>
      </w:hyperlink>
    </w:p>
    <w:p w14:paraId="515F8C15" w14:textId="77777777" w:rsidR="00C63940" w:rsidRDefault="00000000">
      <w:pPr>
        <w:spacing w:after="80"/>
      </w:pPr>
      <w:r>
        <w:rPr>
          <w:rFonts w:ascii="Calibri" w:eastAsia="Calibri" w:hAnsi="Calibri"/>
          <w:color w:val="555555"/>
          <w:sz w:val="20"/>
        </w:rPr>
        <w:t xml:space="preserve">• IOB — Reforma Tributária: adiamento da rejeição de notas sem IBS e CBS (pesquisa com 4.500+ empresas, 93% de inconsistências) — </w:t>
      </w:r>
      <w:hyperlink r:id="rId14" w:history="1">
        <w:r>
          <w:rPr>
            <w:rFonts w:ascii="Calibri" w:eastAsia="Calibri" w:hAnsi="Calibri"/>
            <w:color w:val="006AFF"/>
            <w:sz w:val="20"/>
            <w:u w:val="single"/>
          </w:rPr>
          <w:t>noticias.iob.com.br</w:t>
        </w:r>
      </w:hyperlink>
    </w:p>
    <w:p w14:paraId="598DEB20" w14:textId="77777777" w:rsidR="00C63940" w:rsidRDefault="00000000">
      <w:pPr>
        <w:spacing w:after="80"/>
      </w:pPr>
      <w:r>
        <w:rPr>
          <w:rFonts w:ascii="Calibri" w:eastAsia="Calibri" w:hAnsi="Calibri"/>
          <w:color w:val="555555"/>
          <w:sz w:val="20"/>
        </w:rPr>
        <w:t xml:space="preserve">• Tax Group — Fluxo de caixa na Reforma Tributária: split payment e capital de giro (agosto de 2026) — </w:t>
      </w:r>
      <w:hyperlink r:id="rId15" w:history="1">
        <w:r>
          <w:rPr>
            <w:rFonts w:ascii="Calibri" w:eastAsia="Calibri" w:hAnsi="Calibri"/>
            <w:color w:val="006AFF"/>
            <w:sz w:val="20"/>
            <w:u w:val="single"/>
          </w:rPr>
          <w:t>taxgroup.com.br</w:t>
        </w:r>
      </w:hyperlink>
    </w:p>
    <w:p w14:paraId="3482213D" w14:textId="77777777" w:rsidR="00C63940" w:rsidRDefault="00000000">
      <w:pPr>
        <w:spacing w:after="80"/>
      </w:pPr>
      <w:r>
        <w:rPr>
          <w:rFonts w:ascii="Calibri" w:eastAsia="Calibri" w:hAnsi="Calibri"/>
          <w:color w:val="555555"/>
          <w:sz w:val="20"/>
        </w:rPr>
        <w:t xml:space="preserve">• Treasy — Reforma Tributária: impacto no caixa e nas empresas — </w:t>
      </w:r>
      <w:hyperlink r:id="rId16" w:history="1">
        <w:r>
          <w:rPr>
            <w:rFonts w:ascii="Calibri" w:eastAsia="Calibri" w:hAnsi="Calibri"/>
            <w:color w:val="006AFF"/>
            <w:sz w:val="20"/>
            <w:u w:val="single"/>
          </w:rPr>
          <w:t>treasy.com.br</w:t>
        </w:r>
      </w:hyperlink>
    </w:p>
    <w:p w14:paraId="7F41E93D" w14:textId="77777777" w:rsidR="00C63940" w:rsidRDefault="00000000">
      <w:pPr>
        <w:spacing w:after="80"/>
      </w:pPr>
      <w:r>
        <w:rPr>
          <w:rFonts w:ascii="Calibri" w:eastAsia="Calibri" w:hAnsi="Calibri"/>
          <w:color w:val="555555"/>
          <w:sz w:val="20"/>
        </w:rPr>
        <w:t xml:space="preserve">• Qive — Reforma Tributária: impactos no planejamento financeiro — </w:t>
      </w:r>
      <w:hyperlink r:id="rId17" w:history="1">
        <w:r>
          <w:rPr>
            <w:rFonts w:ascii="Calibri" w:eastAsia="Calibri" w:hAnsi="Calibri"/>
            <w:color w:val="006AFF"/>
            <w:sz w:val="20"/>
            <w:u w:val="single"/>
          </w:rPr>
          <w:t>qive.com.br</w:t>
        </w:r>
      </w:hyperlink>
    </w:p>
    <w:p w14:paraId="1E9DBF53" w14:textId="77777777" w:rsidR="00C63940" w:rsidRDefault="00000000">
      <w:pPr>
        <w:spacing w:after="120"/>
      </w:pPr>
      <w:r>
        <w:rPr>
          <w:rFonts w:ascii="Calibri" w:eastAsia="Calibri" w:hAnsi="Calibri"/>
          <w:color w:val="555555"/>
          <w:sz w:val="20"/>
        </w:rPr>
        <w:t xml:space="preserve">• SAP News Brasil — Volkswagen moderniza gestão fiscal em preparação para a reforma tributária com SAP DRC — </w:t>
      </w:r>
      <w:hyperlink r:id="rId18" w:history="1">
        <w:r>
          <w:rPr>
            <w:rFonts w:ascii="Calibri" w:eastAsia="Calibri" w:hAnsi="Calibri"/>
            <w:color w:val="006AFF"/>
            <w:sz w:val="20"/>
            <w:u w:val="single"/>
          </w:rPr>
          <w:t>news.sap.com/brazil</w:t>
        </w:r>
      </w:hyperlink>
    </w:p>
    <w:p w14:paraId="24C197DD" w14:textId="77777777" w:rsidR="00C63940" w:rsidRDefault="00000000">
      <w:pPr>
        <w:spacing w:after="120"/>
      </w:pPr>
      <w:r>
        <w:rPr>
          <w:rFonts w:ascii="Calibri" w:eastAsia="Calibri" w:hAnsi="Calibri"/>
          <w:i/>
          <w:color w:val="006AFF"/>
          <w:sz w:val="20"/>
        </w:rPr>
        <w:t>#SAP #ReformaTributaria #SAPAnalyticsCloud #FPandA #CFO</w:t>
      </w:r>
    </w:p>
    <w:sectPr w:rsidR="00C63940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497521">
    <w:abstractNumId w:val="8"/>
  </w:num>
  <w:num w:numId="2" w16cid:durableId="310058417">
    <w:abstractNumId w:val="6"/>
  </w:num>
  <w:num w:numId="3" w16cid:durableId="1959483501">
    <w:abstractNumId w:val="5"/>
  </w:num>
  <w:num w:numId="4" w16cid:durableId="139202248">
    <w:abstractNumId w:val="4"/>
  </w:num>
  <w:num w:numId="5" w16cid:durableId="657227441">
    <w:abstractNumId w:val="7"/>
  </w:num>
  <w:num w:numId="6" w16cid:durableId="2025130189">
    <w:abstractNumId w:val="3"/>
  </w:num>
  <w:num w:numId="7" w16cid:durableId="2141607726">
    <w:abstractNumId w:val="2"/>
  </w:num>
  <w:num w:numId="8" w16cid:durableId="1674186281">
    <w:abstractNumId w:val="1"/>
  </w:num>
  <w:num w:numId="9" w16cid:durableId="122482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59F"/>
    <w:rsid w:val="00AA1D8D"/>
    <w:rsid w:val="00B47730"/>
    <w:rsid w:val="00C63940"/>
    <w:rsid w:val="00CB0664"/>
    <w:rsid w:val="00E738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4607795-3110-4325-B41E-7F5513E42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ive.com.br/blog/reforma-tributaria-impactos-planejamento-financeiro" TargetMode="External"/><Relationship Id="rId13" Type="http://schemas.openxmlformats.org/officeDocument/2006/relationships/hyperlink" Target="https://www.gov.br/receitafederal/pt-br/assuntos/noticias/2026/julho/receita-federal-e-comite-gestor-do-ibs-publicam-o-cronograma-de-implementacao-dos-documentos-fiscais-eletronicos-da-reforma-tributaria-do-consumo" TargetMode="External"/><Relationship Id="rId18" Type="http://schemas.openxmlformats.org/officeDocument/2006/relationships/hyperlink" Target="https://news.sap.com/brazil/2026/05/volkswagen-moderniza-gestao-fiscal-em-preparacao-para-a-reforma-tributaria-com-sap-drc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treasy.com.br/blog/reforma-tributaria-2026/" TargetMode="External"/><Relationship Id="rId12" Type="http://schemas.openxmlformats.org/officeDocument/2006/relationships/hyperlink" Target="https://bdcstrategy.solveplan.ai/" TargetMode="External"/><Relationship Id="rId17" Type="http://schemas.openxmlformats.org/officeDocument/2006/relationships/hyperlink" Target="https://qive.com.br/blog/reforma-tributaria-impactos-planejamento-financeir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reasy.com.br/blog/reforma-tributaria-2026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news.sap.com/brazil/2026/05/volkswagen-moderniza-gestao-fiscal-em-preparacao-para-a-reforma-tributaria-com-sap-drc/" TargetMode="External"/><Relationship Id="rId11" Type="http://schemas.openxmlformats.org/officeDocument/2006/relationships/hyperlink" Target="https://noticias.iob.com.br/reforma-adiamento-rejeicao-notas-ibs-cb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taxgroup.com.br/intelligence/fluxo-de-caixa-na-reforma-tributaria-entenda-os-impactos-e-o-que-muda-para-a-sua-empresa/" TargetMode="External"/><Relationship Id="rId10" Type="http://schemas.openxmlformats.org/officeDocument/2006/relationships/hyperlink" Target="https://www.gov.br/receitafederal/pt-br/assuntos/noticias/2026/julho/receita-federal-e-comite-gestor-do-ibs-publicam-o-cronograma-de-implementacao-dos-documentos-fiscais-eletronicos-da-reforma-tributaria-do-consumo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axgroup.com.br/intelligence/fluxo-de-caixa-na-reforma-tributaria-entenda-os-impactos-e-o-que-muda-para-a-sua-empresa/" TargetMode="External"/><Relationship Id="rId14" Type="http://schemas.openxmlformats.org/officeDocument/2006/relationships/hyperlink" Target="https://noticias.iob.com.br/reforma-adiamento-rejeicao-notas-ibs-cb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1362</Words>
  <Characters>7358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Francielle Santos</cp:lastModifiedBy>
  <cp:revision>2</cp:revision>
  <dcterms:created xsi:type="dcterms:W3CDTF">2013-12-23T23:15:00Z</dcterms:created>
  <dcterms:modified xsi:type="dcterms:W3CDTF">2026-09-23T13:31:00Z</dcterms:modified>
  <cp:category/>
</cp:coreProperties>
</file>