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2B5C"/>
          <w:sz w:val="40"/>
        </w:rPr>
        <w:t>SAP BDC como Knowledge Core: por que os agentes SAP precisam conhecer a sua empresa, não só o SAP</w:t>
      </w:r>
    </w:p>
    <w:p>
      <w:pPr>
        <w:spacing w:before="160" w:after="80"/>
      </w:pPr>
      <w:r>
        <w:rPr>
          <w:b/>
          <w:color w:val="006BA8"/>
          <w:sz w:val="24"/>
        </w:rPr>
        <w:t>O SAP Knowledge Graph sabe tudo sobre como o ERP funciona. O SAP Business Data Cloud é o que faz ele saber como o seu ERP funciona. Essa diferença define o teto de precisão de qualquer agente no seu ambiente.</w:t>
      </w:r>
    </w:p>
    <w:p>
      <w:pPr>
        <w:pStyle w:val="Heading2"/>
      </w:pPr>
      <w:r>
        <w:rPr>
          <w:b/>
          <w:color w:val="002B5C"/>
          <w:sz w:val="28"/>
        </w:rPr>
        <w:t>O que é o Knowledge Core do SAP BDC?</w:t>
      </w:r>
    </w:p>
    <w:p>
      <w:pPr>
        <w:spacing w:after="120"/>
      </w:pPr>
      <w:r>
        <w:t>O Knowledge Core é o papel que o SAP Business Data Cloud (BDC) desempenha dentro da arquitetura de IA da SAP: ele é a camada de dados governados, semanticamente estruturados e contextualizados que ancora cada aplicação e agente ao negócio real da empresa. A própria SAP define o BDC como *"the trusted knowledge core for every enterprise application and agent"* — o núcleo de conhecimento confiável para toda aplicação e agente empresarial.</w:t>
      </w:r>
    </w:p>
    <w:p>
      <w:pPr>
        <w:spacing w:after="120"/>
      </w:pPr>
      <w:r>
        <w:t>Na prática, o BDC não é um data warehouse com uma camada semântica por cima. Ele foi construído para reduzir o que a SAP chama de *context gap* — a lacuna entre dados que existem na empresa e ação que os agentes conseguem tomar com precisão. Dados sem contexto empresarial respondem perguntas técnicas. Dados com contexto empresarial viabilizam decisões.</w:t>
      </w:r>
    </w:p>
    <w:p>
      <w:pPr>
        <w:pStyle w:val="Heading2"/>
      </w:pPr>
      <w:r>
        <w:rPr>
          <w:b/>
          <w:color w:val="002B5C"/>
          <w:sz w:val="28"/>
        </w:rPr>
        <w:t>A lacuna que o BDC resolve: dados sem significado de negócio</w:t>
      </w:r>
    </w:p>
    <w:p>
      <w:pPr>
        <w:spacing w:after="120"/>
      </w:pPr>
      <w:r>
        <w:t>A maioria das empresas que usa SAP tem dados. O problema não é a quantidade — é o significado.</w:t>
      </w:r>
    </w:p>
    <w:p>
      <w:pPr>
        <w:spacing w:after="120"/>
      </w:pPr>
      <w:r>
        <w:t>Um data warehouse tradicional armazena tabelas com esquemas técnicos. Ele sabe que existe um campo `BUKRS` com o valor `1000`. O BDC sabe que `BUKRS 1000` é a empresa Brasil do grupo, que ela tem um plano de contas específico, que o fechamento acontece no dia 5 do mês seguinte e que qualquer lançamento acima de R$ 50.000 exige aprovação do controller regional.</w:t>
      </w:r>
    </w:p>
    <w:p>
      <w:pPr>
        <w:spacing w:after="120"/>
      </w:pPr>
      <w:r>
        <w:t>Essa diferença — entre dado técnico e dado com contexto de negócio — é o que separa um agente que executa uma tarefa de um agente que executa a tarefa certa, para a entidade certa, dentro das regras corretas.</w:t>
      </w:r>
    </w:p>
    <w:p>
      <w:pPr>
        <w:spacing w:after="120"/>
      </w:pPr>
      <w:r>
        <w:t>Quando o BDC estrutura os dados com semântica empresarial, cria o vocabulário que os agentes SAP — alimentados pelo Claude via Joule — precisam para raciocinar sobre processos reais. Sem esse vocabulário, o agente está lendo dados que não entende.</w:t>
      </w:r>
    </w:p>
    <w:p>
      <w:pPr>
        <w:pStyle w:val="Heading2"/>
      </w:pPr>
      <w:r>
        <w:rPr>
          <w:b/>
          <w:color w:val="002B5C"/>
          <w:sz w:val="28"/>
        </w:rPr>
        <w:t>Como o BDC alimenta o Knowledge Graph com o contexto da empresa</w:t>
      </w:r>
    </w:p>
    <w:p>
      <w:pPr>
        <w:spacing w:after="120"/>
      </w:pPr>
      <w:r>
        <w:t>O SAP Knowledge Graph fornece o contexto genérico do universo SAP: tabelas mapeadas do S/4HANA, campos com relações semânticas, 50 anos de lógica de processo codificada. Esse mapa é compartilhado por todos os clientes SAP.</w:t>
      </w:r>
    </w:p>
    <w:p>
      <w:pPr>
        <w:spacing w:after="120"/>
      </w:pPr>
      <w:r>
        <w:t>O SAP Business Data Cloud é a camada que personaliza esse mapa para a empresa específica.</w:t>
      </w:r>
    </w:p>
    <w:p>
      <w:pPr>
        <w:spacing w:after="120"/>
      </w:pPr>
      <w:r>
        <w:t>Quando o BDC integra os dados da organização — de fontes SAP e não-SAP — e os estrutura com semântica de negócio, estende o Knowledge Graph com o contexto proprietário da empresa:</w:t>
      </w:r>
    </w:p>
    <w:p>
      <w:pPr>
        <w:pStyle w:val="ListBullet"/>
        <w:spacing w:after="80"/>
      </w:pPr>
      <w:r/>
      <w:r>
        <w:rPr>
          <w:b/>
        </w:rPr>
        <w:t>Hierarquias organizacionais reais:</w:t>
      </w:r>
      <w:r>
        <w:t xml:space="preserve"> quais entidades jurídicas existem, como estão estruturadas, quais são as relações de consolidação</w:t>
      </w:r>
    </w:p>
    <w:p>
      <w:pPr>
        <w:pStyle w:val="ListBullet"/>
        <w:spacing w:after="80"/>
      </w:pPr>
      <w:r/>
      <w:r>
        <w:rPr>
          <w:b/>
        </w:rPr>
        <w:t>Dados mestre governados:</w:t>
      </w:r>
      <w:r>
        <w:t xml:space="preserve"> clientes, fornecedores, materiais, centros de custo — com identidade unificada e sem duplicação</w:t>
      </w:r>
    </w:p>
    <w:p>
      <w:pPr>
        <w:pStyle w:val="ListBullet"/>
        <w:spacing w:after="80"/>
      </w:pPr>
      <w:r/>
      <w:r>
        <w:rPr>
          <w:b/>
        </w:rPr>
        <w:t>Histórico transacional:</w:t>
      </w:r>
      <w:r>
        <w:t xml:space="preserve"> o que aconteceu, quando, quem aprovou e por quê</w:t>
      </w:r>
    </w:p>
    <w:p>
      <w:pPr>
        <w:pStyle w:val="ListBullet"/>
        <w:spacing w:after="80"/>
      </w:pPr>
      <w:r/>
      <w:r>
        <w:rPr>
          <w:b/>
        </w:rPr>
        <w:t>Regras de processo:</w:t>
      </w:r>
      <w:r>
        <w:t xml:space="preserve"> políticas internas, limites de alçada, exceções negociadas</w:t>
      </w:r>
    </w:p>
    <w:p>
      <w:pPr>
        <w:pStyle w:val="ListBullet"/>
        <w:spacing w:after="80"/>
      </w:pPr>
      <w:r/>
      <w:r>
        <w:rPr>
          <w:b/>
        </w:rPr>
        <w:t>Dados externos integrados:</w:t>
      </w:r>
      <w:r>
        <w:t xml:space="preserve"> fontes fora do ecossistema SAP trazidas ao mesmo contexto semântico</w:t>
      </w:r>
    </w:p>
    <w:p>
      <w:pPr>
        <w:spacing w:after="120"/>
      </w:pPr>
      <w:r>
        <w:t>O resultado é um Knowledge Graph que não apenas sabe como um processo de fechamento funciona no universo SAP — sabe como ele funciona nessa empresa, com esse organograma, com essa estrutura de aprovações, nesse mês específico.</w:t>
      </w:r>
    </w:p>
    <w:p>
      <w:pPr>
        <w:pStyle w:val="Heading2"/>
      </w:pPr>
      <w:r>
        <w:rPr>
          <w:b/>
          <w:color w:val="002B5C"/>
          <w:sz w:val="28"/>
        </w:rPr>
        <w:t>SAP Domain Models: o elo entre dados e lógica de processo</w:t>
      </w:r>
    </w:p>
    <w:p>
      <w:pPr>
        <w:spacing w:after="120"/>
      </w:pPr>
      <w:r>
        <w:t>Dentro da arquitetura do BDC, os SAP Domain Models são modelos pré-treinados na lógica SAP que interpretam os dados estruturados pelo BDC e os traduzem para o contexto de processo que os agentes precisam para agir.</w:t>
      </w:r>
    </w:p>
    <w:p>
      <w:pPr>
        <w:spacing w:after="120"/>
      </w:pPr>
      <w:r>
        <w:t>Um Domain Model de finanças sabe o que uma variação de custo significa dentro do ciclo de planejamento SAP — não apenas que dois números são diferentes, mas que essa diferença tem implicações para o fechamento, para o orçamento e para a gestão de desempenho. Esse nível de interpretação é o que permite ao Joule responder não "os valores são diferentes" mas "há uma variação de 8% no centro de custo 1200 que está acima do threshold configurado e requer revisão antes do fechamento".</w:t>
      </w:r>
    </w:p>
    <w:p>
      <w:pPr>
        <w:spacing w:after="120"/>
      </w:pPr>
      <w:r>
        <w:t>Os Domain Models operam sobre os data products governados do BDC — unidades de dado verificadas, alinhadas às políticas da empresa e prontas para consumo por agentes e aplicações. Cada data product encapsula não apenas os dados, mas as regras de qualidade, as políticas de acesso e o contexto de negócio que tornam aquele dado confiável para decisão automatizada.</w:t>
      </w:r>
    </w:p>
    <w:p>
      <w:pPr>
        <w:pStyle w:val="Heading2"/>
      </w:pPr>
      <w:r>
        <w:rPr>
          <w:b/>
          <w:color w:val="002B5C"/>
          <w:sz w:val="28"/>
        </w:rPr>
        <w:t>Data products governados: a unidade de confiança do BDC</w:t>
      </w:r>
    </w:p>
    <w:p>
      <w:pPr>
        <w:spacing w:after="120"/>
      </w:pPr>
      <w:r>
        <w:t>Um data product no BDC não é um relatório ou uma tabela. É um ativo de dado certificado — validado pelo SAP Master Data Governance, alinhado às políticas comerciais da empresa e disponível para consumo por qualquer aplicação ou agente com as permissões corretas.</w:t>
      </w:r>
    </w:p>
    <w:p>
      <w:pPr>
        <w:spacing w:after="120"/>
      </w:pPr>
      <w:r>
        <w:t>A relevância prática para quem usa agentes SAP é direta: agentes que operam sobre data products certificados tomam decisões sobre dados confiáveis. Agentes que operam sobre extrações ad hoc, planilhas consolidadas manualmente ou replicações sem governança tomam decisões sobre o que os dados pareciam ser em algum momento do passado.</w:t>
      </w:r>
    </w:p>
    <w:p>
      <w:pPr>
        <w:spacing w:after="120"/>
      </w:pPr>
      <w:r>
        <w:t>Em 2026, o SAP Master Data Governance passou a ser integrado nativamente ao BDC — o que significa que a governança de dados mestre e a certificação de data products fazem parte da mesma fundação, sem dependência de processos manuais externos.</w:t>
      </w:r>
    </w:p>
    <w:p>
      <w:pPr>
        <w:pStyle w:val="Heading2"/>
      </w:pPr>
      <w:r>
        <w:rPr>
          <w:b/>
          <w:color w:val="002B5C"/>
          <w:sz w:val="28"/>
        </w:rPr>
        <w:t>Implementar BDC é estruturar a fundação de tudo — perspectiva Solveplan</w:t>
      </w:r>
    </w:p>
    <w:p>
      <w:pPr>
        <w:spacing w:after="120"/>
      </w:pPr>
      <w:r>
        <w:t>Para a Solveplan, parceira SAP Gold especializada em implementação de SAP BDC e SAP Datasphere na América Latina, o papel do BDC como Knowledge Core não é uma abstração arquitetural — é o trabalho do dia a dia com clientes.</w:t>
      </w:r>
    </w:p>
    <w:p>
      <w:pPr>
        <w:spacing w:after="120"/>
      </w:pPr>
      <w:r>
        <w:t>Quando uma empresa implementa o BDC com qualidade — dados mestre unificados, hierarquias organizacionais corretas, fontes integradas com semântica de negócio e políticas de governança estabelecidas —, está construindo o ativo que vai determinar o desempenho de tudo que vier depois: Joule Work, SAP Autonomous Suite, agentes Claude, análises no SAP Datasphere e SAP Analytics Cloud.</w:t>
      </w:r>
    </w:p>
    <w:p>
      <w:pPr>
        <w:spacing w:after="120"/>
      </w:pPr>
      <w:r>
        <w:t>Quando implementa de forma apressada — apenas como caminho técnico de migração, sem estruturar o contexto semântico —, chega às capacidades de IA com uma fundação frágil. O agente pode estar correto tecnicamente e errado do ponto de vista do negócio, porque o dado que encontrou não representa o que a empresa entende por aquele conceito.</w:t>
      </w:r>
    </w:p>
    <w:p>
      <w:pPr>
        <w:spacing w:after="120"/>
      </w:pPr>
      <w:r>
        <w:t>A Solveplan vê frequentemente dois perfis ao avaliar prontidão para IA no SAP:</w:t>
      </w:r>
    </w:p>
    <w:p>
      <w:pPr>
        <w:spacing w:after="120"/>
      </w:pPr>
      <w:r/>
      <w:r>
        <w:rPr>
          <w:b/>
        </w:rPr>
        <w:t>Perfil A:</w:t>
      </w:r>
      <w:r>
        <w:t xml:space="preserve"> dados mestre limpos, hierarquias mapeadas, BDC estruturado com semântica de negócio. Esses clientes chegam ao Joule Work e ao SAP Autonomous Suite e a experiência funciona desde o início — porque o Knowledge Core está no lugar.</w:t>
      </w:r>
    </w:p>
    <w:p>
      <w:pPr>
        <w:spacing w:after="120"/>
      </w:pPr>
      <w:r/>
      <w:r>
        <w:rPr>
          <w:b/>
        </w:rPr>
        <w:t>Perfil B:</w:t>
      </w:r>
      <w:r>
        <w:t xml:space="preserve"> dados fragmentados, múltiplas fontes com definições conflitantes, sem governança estabelecida. Esses clientes chegam à mesma tecnologia e encontram um agente que não sabe o que é "cliente" na empresa deles — porque cada sistema tem uma resposta diferente.</w:t>
      </w:r>
    </w:p>
    <w:p>
      <w:pPr>
        <w:spacing w:after="120"/>
      </w:pPr>
      <w:r>
        <w:t>A recomendação da Solveplan é sempre a mesma: o investimento em BDC não é um custo de infraestrutura — é o investimento que determina o retorno de toda iniciativa de IA que vem depois.</w:t>
      </w:r>
    </w:p>
    <w:p>
      <w:pPr>
        <w:pStyle w:val="Heading2"/>
      </w:pPr>
      <w:r>
        <w:rPr>
          <w:b/>
          <w:color w:val="002B5C"/>
          <w:sz w:val="28"/>
        </w:rPr>
        <w:t>FAQ — SAP BDC Knowledge Core</w:t>
      </w:r>
    </w:p>
    <w:p>
      <w:pPr>
        <w:spacing w:before="160" w:after="80"/>
      </w:pPr>
      <w:r>
        <w:rPr>
          <w:b/>
          <w:color w:val="006BA8"/>
          <w:sz w:val="24"/>
        </w:rPr>
        <w:t>O que é o Knowledge Core no contexto do SAP BDC?</w:t>
      </w:r>
    </w:p>
    <w:p>
      <w:pPr>
        <w:spacing w:after="120"/>
      </w:pPr>
      <w:r>
        <w:t>Knowledge Core é o papel do SAP Business Data Cloud como camada de dados governados e semanticamente estruturados que ancora agentes e aplicações ao contexto real da empresa. A SAP define o BDC como "the trusted knowledge core for every enterprise application and agent" — a fundação de contexto confiável para IA empresarial no ecossistema SAP.</w:t>
      </w:r>
    </w:p>
    <w:p>
      <w:pPr>
        <w:spacing w:before="160" w:after="80"/>
      </w:pPr>
      <w:r>
        <w:rPr>
          <w:b/>
          <w:color w:val="006BA8"/>
          <w:sz w:val="24"/>
        </w:rPr>
        <w:t>Qual a diferença entre o SAP Knowledge Graph e o BDC como Knowledge Core?</w:t>
      </w:r>
    </w:p>
    <w:p>
      <w:pPr>
        <w:spacing w:after="120"/>
      </w:pPr>
      <w:r>
        <w:t>O SAP Knowledge Graph é o mapa genérico de processos do universo SAP — compartilhado por todos os clientes. O BDC como Knowledge Core estende esse mapa com o contexto específico da empresa: suas hierarquias, seus dados mestre, seu histórico transacional, suas regras de processo. O Knowledge Graph sabe como o ERP funciona; o BDC faz ele saber como o seu ERP funciona.</w:t>
      </w:r>
    </w:p>
    <w:p>
      <w:pPr>
        <w:spacing w:before="160" w:after="80"/>
      </w:pPr>
      <w:r>
        <w:rPr>
          <w:b/>
          <w:color w:val="006BA8"/>
          <w:sz w:val="24"/>
        </w:rPr>
        <w:t>O que são SAP Domain Models?</w:t>
      </w:r>
    </w:p>
    <w:p>
      <w:pPr>
        <w:spacing w:after="120"/>
      </w:pPr>
      <w:r>
        <w:t>SAP Domain Models são modelos pré-treinados na lógica de processo SAP que traduzem dados estruturados pelo BDC em contexto interpretável pelos agentes — transformando diferenças numéricas em significado de negócio como variações orçamentárias, exceções de processo ou itens que requerem aprovação.</w:t>
      </w:r>
    </w:p>
    <w:p>
      <w:pPr>
        <w:spacing w:before="160" w:after="80"/>
      </w:pPr>
      <w:r>
        <w:rPr>
          <w:b/>
          <w:color w:val="006BA8"/>
          <w:sz w:val="24"/>
        </w:rPr>
        <w:t>O que é um data product no SAP BDC?</w:t>
      </w:r>
    </w:p>
    <w:p>
      <w:pPr>
        <w:spacing w:after="120"/>
      </w:pPr>
      <w:r>
        <w:t>Um data product é um ativo de dado certificado no BDC — verificado pelo SAP Master Data Governance, alinhado às políticas da empresa e pronto para consumo por agentes e aplicações. Encapsula não apenas os dados, mas as regras de qualidade e o contexto de negócio que tornam aquele dado confiável para decisão automatizada.</w:t>
      </w:r>
    </w:p>
    <w:p>
      <w:pPr>
        <w:spacing w:before="160" w:after="80"/>
      </w:pPr>
      <w:r>
        <w:rPr>
          <w:b/>
          <w:color w:val="006BA8"/>
          <w:sz w:val="24"/>
        </w:rPr>
        <w:t>Por que a governança de dados mestre importa para agentes SAP?</w:t>
      </w:r>
    </w:p>
    <w:p>
      <w:pPr>
        <w:spacing w:after="120"/>
      </w:pPr>
      <w:r>
        <w:t>Agentes que operam sobre dados mestre duplicados ou inconsistentes não conseguem distinguir o "cliente A" de três registros diferentes com o mesmo CNPJ. O resultado são ações erradas executadas com confiança — o pior cenário em automação. Com o SAP Master Data Governance integrado ao BDC, cada data product já passou por verificação de identidade e conformidade.</w:t>
      </w:r>
    </w:p>
    <w:p>
      <w:pPr>
        <w:spacing w:before="160" w:after="80"/>
      </w:pPr>
      <w:r>
        <w:rPr>
          <w:b/>
          <w:color w:val="006BA8"/>
          <w:sz w:val="24"/>
        </w:rPr>
        <w:t>Como a Solveplan implementa o BDC como Knowledge Core?</w:t>
      </w:r>
    </w:p>
    <w:p>
      <w:pPr>
        <w:spacing w:after="120"/>
      </w:pPr>
      <w:r>
        <w:t>A Solveplan estrutura o SAP BDC com foco no contexto de negócio: unificação de dados mestre, mapeamento de hierarquias organizacionais, integração de fontes externas com semântica consistente e estabelecimento de políticas de governança. O objetivo é que o BDC entregue um Knowledge Core que faça os agentes SAP entenderem o negócio do cliente — não apenas o ERP genérico.</w:t>
      </w:r>
    </w:p>
    <w:p>
      <w:pPr>
        <w:pStyle w:val="Heading2"/>
      </w:pPr>
      <w:r>
        <w:rPr>
          <w:b/>
          <w:color w:val="002B5C"/>
          <w:sz w:val="28"/>
        </w:rPr>
        <w:t>O ativo que determina o retorno de toda iniciativa de IA no SAP</w:t>
      </w:r>
    </w:p>
    <w:p>
      <w:pPr>
        <w:spacing w:after="120"/>
      </w:pPr>
      <w:r>
        <w:t>O SAP Business Data Cloud é a camada que transforma o Knowledge Graph genérico da SAP no conhecimento específico da sua empresa. Sem ele bem estruturado, agentes, analytics e IA trabalham sobre uma aproximação do seu negócio — não sobre ele.</w:t>
      </w:r>
    </w:p>
    <w:p>
      <w:pPr>
        <w:spacing w:after="120"/>
      </w:pPr>
      <w:r>
        <w:t>Fale com a Solveplan para avaliar o estado atual do seu ambiente de dados e entender o que precisa ser estruturado para que o BDC cumpra o papel de Knowledge Core na sua organização.</w:t>
      </w:r>
    </w:p>
    <w:p>
      <w:pPr>
        <w:spacing w:before="160" w:after="80"/>
      </w:pPr>
      <w:r>
        <w:rPr>
          <w:b/>
          <w:color w:val="006BA8"/>
          <w:sz w:val="24"/>
        </w:rPr>
        <w:t>[Agendar conversa com a Solveplan]</w:t>
      </w:r>
    </w:p>
    <w:p>
      <w:pPr>
        <w:pStyle w:val="Heading2"/>
      </w:pPr>
      <w:r>
        <w:rPr>
          <w:b/>
          <w:color w:val="002B5C"/>
          <w:sz w:val="28"/>
        </w:rPr>
        <w:t>Fontes</w:t>
      </w:r>
    </w:p>
    <w:p>
      <w:pPr>
        <w:pStyle w:val="ListBullet"/>
        <w:spacing w:after="80"/>
      </w:pPr>
      <w:r>
        <w:t xml:space="preserve">SAP News Center — </w:t>
      </w:r>
      <w:hyperlink r:id="rId9">
        <w:r>
          <w:rPr>
            <w:rStyle w:val="Hyperlink"/>
            <w:color w:val="0563C1"/>
            <w:u w:val="single"/>
          </w:rPr>
          <w:t xml:space="preserve">Accelerate the Autonomous Enterprise with SAP Business Data Cloud</w:t>
        </w:r>
      </w:hyperlink>
    </w:p>
    <w:p>
      <w:pPr>
        <w:pStyle w:val="ListBullet"/>
        <w:spacing w:after="80"/>
      </w:pPr>
      <w:r>
        <w:t xml:space="preserve">SAP — </w:t>
      </w:r>
      <w:hyperlink r:id="rId10">
        <w:r>
          <w:rPr>
            <w:rStyle w:val="Hyperlink"/>
            <w:color w:val="0563C1"/>
            <w:u w:val="single"/>
          </w:rPr>
          <w:t xml:space="preserve">SAP Business Data Cloud</w:t>
        </w:r>
      </w:hyperlink>
    </w:p>
    <w:p>
      <w:pPr>
        <w:pStyle w:val="ListBullet"/>
        <w:spacing w:after="80"/>
      </w:pPr>
      <w:r>
        <w:t xml:space="preserve">SAVIC Technologies — </w:t>
      </w:r>
      <w:hyperlink r:id="rId11">
        <w:r>
          <w:rPr>
            <w:rStyle w:val="Hyperlink"/>
            <w:color w:val="0563C1"/>
            <w:u w:val="single"/>
          </w:rPr>
          <w:t xml:space="preserve">SAP Business Data Cloud in 2026 Explained</w:t>
        </w:r>
      </w:hyperlink>
    </w:p>
    <w:p>
      <w:pPr>
        <w:pStyle w:val="ListBullet"/>
        <w:spacing w:after="80"/>
      </w:pPr>
      <w:r>
        <w:t xml:space="preserve">E3 Magazine — </w:t>
      </w:r>
      <w:hyperlink r:id="rId12">
        <w:r>
          <w:rPr>
            <w:rStyle w:val="Hyperlink"/>
            <w:color w:val="0563C1"/>
            <w:u w:val="single"/>
          </w:rPr>
          <w:t xml:space="preserve">SAP Knowledge Graph and Vector Engine</w:t>
        </w:r>
      </w:hyperlink>
    </w:p>
    <w:p>
      <w:pPr>
        <w:pStyle w:val="ListBullet"/>
        <w:spacing w:after="80"/>
      </w:pPr>
      <w:r>
        <w:t xml:space="preserve">BARC — </w:t>
      </w:r>
      <w:hyperlink r:id="rId13">
        <w:r>
          <w:rPr>
            <w:rStyle w:val="Hyperlink"/>
            <w:color w:val="0563C1"/>
            <w:u w:val="single"/>
          </w:rPr>
          <w:t xml:space="preserve">SAP data and analytics 2026: From roadmap to reality</w:t>
        </w:r>
      </w:hyperlink>
    </w:p>
    <w:p>
      <w:pPr>
        <w:pStyle w:val="ListBullet"/>
        <w:spacing w:after="80"/>
      </w:pPr>
      <w:r>
        <w:t xml:space="preserve">Futurum Group — </w:t>
      </w:r>
      <w:hyperlink r:id="rId14">
        <w:r>
          <w:rPr>
            <w:rStyle w:val="Hyperlink"/>
            <w:color w:val="0563C1"/>
            <w:u w:val="single"/>
          </w:rPr>
          <w:t xml:space="preserve">Precision Over Prose: Why SAP Knowledge Graph is the Secret to Production-Ready AI</w:t>
        </w:r>
      </w:hyperlink>
    </w:p>
    <w:p>
      <w:r>
        <w:br w:type="page"/>
      </w:r>
    </w:p>
    <w:p>
      <w:pPr>
        <w:pStyle w:val="Heading1"/>
      </w:pPr>
      <w:r>
        <w:rPr>
          <w:b/>
          <w:color w:val="002B5C"/>
          <w:sz w:val="40"/>
        </w:rPr>
        <w:t>Metadados SEO — SAP BDC Knowledge Core</w:t>
      </w:r>
    </w:p>
    <w:p>
      <w:pPr>
        <w:pStyle w:val="Heading2"/>
      </w:pPr>
      <w:r>
        <w:rPr>
          <w:b/>
          <w:color w:val="002B5C"/>
          <w:sz w:val="28"/>
        </w:rPr>
        <w:t>On-page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Meta title</w:t>
            </w:r>
          </w:p>
        </w:tc>
        <w:tc>
          <w:tcPr>
            <w:tcW w:type="dxa" w:w="4320"/>
          </w:tcPr>
          <w:p>
            <w:r>
              <w:t>SAP Business Data Cloud: o Knowledge Core que os agentes SAP precisam \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O SAP BDC é o que transforma o Knowledge Graph genérico da SAP no contexto específico da sua empresa. Entenda o papel dos data products, Domain Models e governança de dados mestre.</w:t>
            </w:r>
          </w:p>
        </w:tc>
      </w:tr>
      <w:tr>
        <w:tc>
          <w:tcPr>
            <w:tcW w:type="dxa" w:w="4320"/>
          </w:tcPr>
          <w:p>
            <w:r>
              <w:t>URL slug</w:t>
            </w:r>
          </w:p>
        </w:tc>
        <w:tc>
          <w:tcPr>
            <w:tcW w:type="dxa" w:w="4320"/>
          </w:tcPr>
          <w:p>
            <w:r>
              <w:t>/blog/sap-bdc-knowledge-core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SAP BDC como Knowledge Core: por que os agentes SAP precisam conhecer a sua empresa, não só o SAP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https://solveplan.com.br/blog/sap-bdc-knowledge-core</w:t>
            </w:r>
          </w:p>
        </w:tc>
      </w:tr>
      <w:tr>
        <w:tc>
          <w:tcPr>
            <w:tcW w:type="dxa" w:w="4320"/>
          </w:tcPr>
          <w:p>
            <w:r>
              <w:t>OG Title</w:t>
            </w:r>
          </w:p>
        </w:tc>
        <w:tc>
          <w:tcPr>
            <w:tcW w:type="dxa" w:w="4320"/>
          </w:tcPr>
          <w:p>
            <w:r>
              <w:t>SAP BDC: o contexto que faz os agentes SAP funcionarem para o seu negócio</w:t>
            </w:r>
          </w:p>
        </w:tc>
      </w:tr>
      <w:tr>
        <w:tc>
          <w:tcPr>
            <w:tcW w:type="dxa" w:w="4320"/>
          </w:tcPr>
          <w:p>
            <w:r>
              <w:t>OG Description</w:t>
            </w:r>
          </w:p>
        </w:tc>
        <w:tc>
          <w:tcPr>
            <w:tcW w:type="dxa" w:w="4320"/>
          </w:tcPr>
          <w:p>
            <w:r>
              <w:t>Data products certificados, Domain Models, governança de dados mestre — entenda por que o BDC é a fundação de toda IA no SAP.</w:t>
            </w:r>
          </w:p>
        </w:tc>
      </w:tr>
      <w:tr>
        <w:tc>
          <w:tcPr>
            <w:tcW w:type="dxa" w:w="4320"/>
          </w:tcPr>
          <w:p>
            <w:r>
              <w:t>OG Image</w:t>
            </w:r>
          </w:p>
        </w:tc>
        <w:tc>
          <w:tcPr>
            <w:tcW w:type="dxa" w:w="4320"/>
          </w:tcPr>
          <w:p>
            <w:r>
              <w:t>1200x630px — diagrama mostrando BDC como camada entre dados da empresa e o Knowledge Graph, com agentes Joule consumindo o contexto. Fundo azul escuro Solveplan. Alt: "SAP BDC como Knowledge Core — arquitetura de dados para IA empresarial"</w:t>
            </w:r>
          </w:p>
        </w:tc>
      </w:tr>
    </w:tbl>
    <w:p/>
    <w:p>
      <w:pPr>
        <w:pStyle w:val="Heading2"/>
      </w:pPr>
      <w:r>
        <w:rPr>
          <w:b/>
          <w:color w:val="002B5C"/>
          <w:sz w:val="28"/>
        </w:rPr>
        <w:t>Links internos sugeridos</w:t>
      </w:r>
    </w:p>
    <w:p>
      <w:pPr>
        <w:pStyle w:val="ListBullet"/>
        <w:spacing w:after="80"/>
      </w:pPr>
      <w:r>
        <w:t>Anchor "SAP Knowledge Graph" → /blog/sap-knowledge-graph</w:t>
      </w:r>
    </w:p>
    <w:p>
      <w:pPr>
        <w:pStyle w:val="ListBullet"/>
        <w:spacing w:after="80"/>
      </w:pPr>
      <w:r>
        <w:t>Anchor "SAP Business AI Platform" → /blog/sap-business-ai-platform</w:t>
      </w:r>
    </w:p>
    <w:p>
      <w:pPr>
        <w:pStyle w:val="ListBullet"/>
        <w:spacing w:after="80"/>
      </w:pPr>
      <w:r>
        <w:t>Anchor "SAP Autonomous Suite" → /blog/sap-autonomous-suite</w:t>
      </w:r>
    </w:p>
    <w:p>
      <w:pPr>
        <w:pStyle w:val="ListBullet"/>
        <w:spacing w:after="80"/>
      </w:pPr>
      <w:r>
        <w:t>Anchor "Joule Work" → /blog/sap-joule-work</w:t>
      </w:r>
    </w:p>
    <w:p>
      <w:pPr>
        <w:pStyle w:val="ListBullet"/>
        <w:spacing w:after="80"/>
      </w:pPr>
      <w:r>
        <w:t>Anchor "SAP Datasphere" → página de solução Datasphere no site Solveplan</w:t>
      </w:r>
    </w:p>
    <w:p>
      <w:pPr>
        <w:pStyle w:val="Heading2"/>
      </w:pPr>
      <w:r>
        <w:rPr>
          <w:b/>
          <w:color w:val="002B5C"/>
          <w:sz w:val="28"/>
        </w:rPr>
        <w:t>Schema Markup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"Article",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"headline": "SAP BDC como Knowledge Core: por que os agentes SAP precisam conhecer a sua empresa, não só o SAP",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"author":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"publisher":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"datePublished": "2026-05-20",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"description": "O SAP BDC é o que transforma o Knowledge Graph genérico da SAP no contexto específico da sua empresa. Entenda o papel dos data products, Domain Models e governança de dados mestre."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"FAQPage",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"mainEntity": [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é o Knowledge Core no contexto do SAP BDC?",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"Knowledge Core é o papel do SAP Business Data Cloud como camada de dados governados e semanticamente estruturados que ancora agentes e aplicações ao contexto real da empresa. A SAP define o BDC como 'the trusted knowledge core for every enterprise application and agent' — a fundação de contexto confiável para IA empresarial no ecossistema SAP."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"Qual a diferença entre o SAP Knowledge Graph e o BDC como Knowledge Core?",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SAP Knowledge Graph é o mapa genérico de processos e relações do universo SAP — compartilhado por todos os clientes. O BDC como Knowledge Core estende esse mapa com o contexto específico da empresa: suas hierarquias, seus dados mestre, seu histórico transacional e suas regras de processo. O Knowledge Graph sabe como o ERP funciona; o BDC faz ele saber como o seu ERP funciona."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é um data product no SAP BDC?",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"Um data product é um ativo de dado certificado no BDC — verificado pelo SAP Master Data Governance, alinhado às políticas da empresa e pronto para consumo por agentes e aplicações. Ele encapsula não apenas os dados, mas as regras de qualidade e o contexto de negócio que tornam aquele dado confiável para decisão automatizada."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são SAP Domain Models?",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"SAP Domain Models são modelos pré-treinados no código SAP e na lógica de processo da plataforma. Eles traduzem dados estruturados pelo BDC para contexto de processo que os agentes conseguem interpretar — transformando diferenças numéricas em significado de negócio como variações orçamentárias, exceções de processo ou itens que requerem aprovação."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]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</w:pPr>
      <w:r>
        <w:rPr>
          <w:b/>
          <w:color w:val="002B5C"/>
          <w:sz w:val="28"/>
        </w:rPr>
        <w:t>Metas de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Top 10 para "SAP Business Data Cloud Knowledge Core" em 90 dias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&gt;3% nas primeiras impressões (Google Search Console)</w:t>
            </w:r>
          </w:p>
        </w:tc>
      </w:tr>
      <w:tr>
        <w:tc>
          <w:tcPr>
            <w:tcW w:type="dxa" w:w="4320"/>
          </w:tcPr>
          <w:p>
            <w:r>
              <w:t>Tempo na página</w:t>
            </w:r>
          </w:p>
        </w:tc>
        <w:tc>
          <w:tcPr>
            <w:tcW w:type="dxa" w:w="4320"/>
          </w:tcPr>
          <w:p>
            <w:r>
              <w:t>&gt;2 min</w:t>
            </w:r>
          </w:p>
        </w:tc>
      </w:tr>
      <w:tr>
        <w:tc>
          <w:tcPr>
            <w:tcW w:type="dxa" w:w="4320"/>
          </w:tcPr>
          <w:p>
            <w:r>
              <w:t>Conversão no CTA</w:t>
            </w:r>
          </w:p>
        </w:tc>
        <w:tc>
          <w:tcPr>
            <w:tcW w:type="dxa" w:w="4320"/>
          </w:tcPr>
          <w:p>
            <w:r>
              <w:t>&gt;1% de cliques no botão de agendamento</w:t>
            </w:r>
          </w:p>
        </w:tc>
      </w:tr>
      <w:tr>
        <w:tc>
          <w:tcPr>
            <w:tcW w:type="dxa" w:w="4320"/>
          </w:tcPr>
          <w:p>
            <w:r>
              <w:t>Revisão programada</w:t>
            </w:r>
          </w:p>
        </w:tc>
        <w:tc>
          <w:tcPr>
            <w:tcW w:type="dxa" w:w="4320"/>
          </w:tcPr>
          <w:p>
            <w:r>
              <w:t>2026-08-20 (90 dias após publicação)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sap.com/2026/05/sap-bdc-accelerate-autonomous-enterprise/" TargetMode="External"/><Relationship Id="rId10" Type="http://schemas.openxmlformats.org/officeDocument/2006/relationships/hyperlink" Target="https://www.sap.com/products/data-cloud.html" TargetMode="External"/><Relationship Id="rId11" Type="http://schemas.openxmlformats.org/officeDocument/2006/relationships/hyperlink" Target="https://www.savictech.com/insights/sap-business-data-cloud-2026-what-it-means/" TargetMode="External"/><Relationship Id="rId12" Type="http://schemas.openxmlformats.org/officeDocument/2006/relationships/hyperlink" Target="https://e3mag.com/en/sap-knowledge-graph-and-vector-engine/" TargetMode="External"/><Relationship Id="rId13" Type="http://schemas.openxmlformats.org/officeDocument/2006/relationships/hyperlink" Target="https://barc.com/sap-data-analytics-2026/" TargetMode="External"/><Relationship Id="rId14" Type="http://schemas.openxmlformats.org/officeDocument/2006/relationships/hyperlink" Target="https://futurumgroup.com/insights/precision-over-prose-why-sap-knowledge-graph-is-the-secret-to-production-ready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