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>
      <w:pPr>
        <w:pStyle w:val="Heading2"/>
      </w:pPr>
      <w:r>
        <w:rPr>
          <w:b/>
          <w:color w:val="002B5C"/>
          <w:sz w:val="28"/>
        </w:rPr>
        <w:t>Os 5 domínios autônomos anunciados no SAP SAPPHIRE 2026</w:t>
      </w:r>
    </w:p>
    <w:p>
      <w:pPr>
        <w:spacing w:after="120"/>
      </w:pPr>
      <w:r>
        <w:t>Durante o SAP SAPPHIRE Orlando 2026, a SAP organizou o SAP Autonomous Suite em cinco domínios operacionais, cada um com agentes e assistentes específicos: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spacing w:after="120"/>
      </w:pPr>
      <w:r>
        <w:t>Além dos cinco domínios, a SAP lançou o Industry AI: sete soluções autônomas com lógica de processo, modelos de dados e requisitos regulatórios específicos para setores como manufatura, varejo e serviços financeiros.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Entre todos os anúncios do SAP SAPPHIRE 2026, o Autonomous Close Assistant é o que tem impacto mais imediato e mensurável para empresas que já usam SAP.</w:t>
      </w:r>
    </w:p>
    <w:p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>
      <w:pPr>
        <w:spacing w:after="120"/>
      </w:pPr>
      <w:r>
        <w:t>O Autonomous Close Assistant automatiza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de forma isolada. Ele depende de duas camadas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SAP Business AI Platform como fundação</w:t>
      </w:r>
    </w:p>
    <w:p>
      <w:pPr>
        <w:spacing w:after="120"/>
      </w:pPr>
      <w:r>
        <w:t>Os agentes do Autonomous Suite operam sobre o SAP Business AI Platform — a arquitetura que unifica SAP BTP, SAP Business Data Cloud e SAP AI Foundation. É o Knowledge Graph dessa plataforma que fornece o contexto necessário para que os agentes tomem decisões corretas dentro dos processos reais da empresa.</w:t>
      </w:r>
    </w:p>
    <w:p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>
      <w:pPr>
        <w:pStyle w:val="Heading2"/>
      </w:pPr>
      <w:r>
        <w:rPr>
          <w:b/>
          <w:color w:val="002B5C"/>
          <w:sz w:val="28"/>
        </w:rPr>
        <w:t>Automatizar sem fundação é ampliar erros — o que a Solveplan recomenda</w:t>
      </w:r>
    </w:p>
    <w:p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Mas o que determina se sua empresa vai aproveitar essa mudança — ou apenas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