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167A68"/>
          <w:sz w:val="19"/>
        </w:rPr>
        <w:t>TECHNICAL SPECIFICATION</w:t>
      </w:r>
    </w:p>
    <w:p>
      <w:pPr>
        <w:spacing w:before="0" w:after="100"/>
      </w:pPr>
      <w:r>
        <w:rPr>
          <w:rFonts w:ascii="Calibri" w:hAnsi="Calibri"/>
          <w:b/>
          <w:color w:val="183E47"/>
          <w:sz w:val="50"/>
        </w:rPr>
        <w:t>Activity and Normality Calculation</w:t>
      </w:r>
    </w:p>
    <w:p>
      <w:pPr>
        <w:spacing w:after="300"/>
      </w:pPr>
      <w:r>
        <w:rPr>
          <w:rFonts w:ascii="Calibri" w:hAnsi="Calibri"/>
          <w:color w:val="536560"/>
          <w:sz w:val="25"/>
        </w:rPr>
        <w:t>Soter household activity monitoring  |  Household household-mpcck67b-epr7fs</w:t>
      </w:r>
    </w:p>
    <w:p>
      <w:pPr>
        <w:spacing w:after="40"/>
      </w:pPr>
      <w:r>
        <w:rPr>
          <w:rFonts w:ascii="Calibri" w:hAnsi="Calibri"/>
          <w:b/>
          <w:color w:val="183E47"/>
          <w:sz w:val="21"/>
        </w:rPr>
        <w:t xml:space="preserve">Status: </w:t>
      </w:r>
      <w:r>
        <w:rPr>
          <w:rFonts w:ascii="Calibri" w:hAnsi="Calibri"/>
          <w:color w:val="536560"/>
          <w:sz w:val="21"/>
        </w:rPr>
        <w:t>Implemented calculation specification</w:t>
      </w:r>
    </w:p>
    <w:p>
      <w:pPr>
        <w:spacing w:after="40"/>
      </w:pPr>
      <w:r>
        <w:rPr>
          <w:rFonts w:ascii="Calibri" w:hAnsi="Calibri"/>
          <w:b/>
          <w:color w:val="183E47"/>
          <w:sz w:val="21"/>
        </w:rPr>
        <w:t xml:space="preserve">Version: </w:t>
      </w:r>
      <w:r>
        <w:rPr>
          <w:rFonts w:ascii="Calibri" w:hAnsi="Calibri"/>
          <w:color w:val="536560"/>
          <w:sz w:val="21"/>
        </w:rPr>
        <w:t>1.1</w:t>
      </w:r>
    </w:p>
    <w:p>
      <w:pPr>
        <w:spacing w:after="40"/>
      </w:pPr>
      <w:r>
        <w:rPr>
          <w:rFonts w:ascii="Calibri" w:hAnsi="Calibri"/>
          <w:b/>
          <w:color w:val="183E47"/>
          <w:sz w:val="21"/>
        </w:rPr>
        <w:t xml:space="preserve">Date: </w:t>
      </w:r>
      <w:r>
        <w:rPr>
          <w:rFonts w:ascii="Calibri" w:hAnsi="Calibri"/>
          <w:color w:val="536560"/>
          <w:sz w:val="21"/>
        </w:rPr>
        <w:t>21 August 2026</w:t>
      </w:r>
    </w:p>
    <w:p>
      <w:pPr>
        <w:spacing w:after="40"/>
      </w:pPr>
      <w:r>
        <w:rPr>
          <w:rFonts w:ascii="Calibri" w:hAnsi="Calibri"/>
          <w:b/>
          <w:color w:val="183E47"/>
          <w:sz w:val="21"/>
        </w:rPr>
        <w:t xml:space="preserve">Home Assistant timezone: </w:t>
      </w:r>
      <w:r>
        <w:rPr>
          <w:rFonts w:ascii="Calibri" w:hAnsi="Calibri"/>
          <w:color w:val="536560"/>
          <w:sz w:val="21"/>
        </w:rPr>
        <w:t>Europe/London</w:t>
      </w:r>
    </w:p>
    <w:p>
      <w:pPr>
        <w:spacing w:before="100" w:after="180" w:line="283" w:lineRule="auto"/>
        <w:ind w:left="230" w:right="230"/>
        <w:shd w:fill="E8F1ED"/>
      </w:pPr>
      <w:r>
        <w:rPr>
          <w:rFonts w:ascii="Calibri" w:hAnsi="Calibri"/>
          <w:b/>
          <w:color w:val="183E47"/>
          <w:sz w:val="20"/>
        </w:rPr>
        <w:t xml:space="preserve">Core principle  </w:t>
      </w:r>
      <w:r>
        <w:rPr>
          <w:rFonts w:ascii="Calibri" w:hAnsi="Calibri"/>
          <w:color w:val="183E47"/>
          <w:sz w:val="20"/>
        </w:rPr>
        <w:t>The system models meaningful behaviour, not raw sensor traffic. It removes cleared movement and zero-power noise, represents television use as time-bounded viewing periods, and compares like-for-like local-time checkpoints.</w:t>
      </w:r>
    </w:p>
    <w:p>
      <w:pPr>
        <w:pStyle w:val="Heading1"/>
      </w:pPr>
      <w:r>
        <w:t>1. Purpose and scope</w:t>
      </w:r>
    </w:p>
    <w:p>
      <w:r>
        <w:t>This document defines how Home Assistant sensor data and privacy-minimised Soter events are converted into activity features, a household-specific normality score, and an alert state. It is the behavioural calculation contract for the current Firebase implementation.</w:t>
      </w:r>
    </w:p>
    <w:p>
      <w:pPr>
        <w:pStyle w:val="ListBullet"/>
        <w:spacing w:after="80" w:line="300" w:lineRule="auto"/>
        <w:ind w:left="540" w:hanging="271"/>
      </w:pPr>
      <w:r>
        <w:t>Normality is a measure of difference from Judy’s learned household routine; it is not a diagnosis, emergency assessment, or proof that harm has occurred.</w:t>
      </w:r>
    </w:p>
    <w:p>
      <w:pPr>
        <w:pStyle w:val="ListBullet"/>
        <w:spacing w:after="80" w:line="300" w:lineRule="auto"/>
        <w:ind w:left="540" w:hanging="271"/>
      </w:pPr>
      <w:r>
        <w:t>All calculation times use the configured Home Assistant timezone, currently Europe/London.</w:t>
      </w:r>
    </w:p>
    <w:p>
      <w:pPr>
        <w:pStyle w:val="ListBullet"/>
        <w:spacing w:after="80" w:line="300" w:lineRule="auto"/>
        <w:ind w:left="540" w:hanging="271"/>
      </w:pPr>
      <w:r>
        <w:t>Only reduced behavioural events and derived features are copied into the analysis project. Images, transcripts, names, and unrelated Home Assistant attributes are not copied.</w:t>
      </w:r>
    </w:p>
    <w:p>
      <w:pPr>
        <w:pStyle w:val="Heading1"/>
      </w:pPr>
      <w:r>
        <w:t>2. Processing sequence</w:t>
      </w:r>
    </w:p>
    <w:p>
      <w:pPr>
        <w:pStyle w:val="ListNumber"/>
        <w:spacing w:after="80" w:line="300" w:lineRule="auto"/>
        <w:ind w:left="540" w:hanging="271"/>
      </w:pPr>
      <w:r>
        <w:t>The Home Assistant collector accepts only configured entities and sends reduced state records over authenticated outbound HTTPS.</w:t>
      </w:r>
    </w:p>
    <w:p>
      <w:pPr>
        <w:pStyle w:val="ListNumber"/>
        <w:spacing w:after="80" w:line="300" w:lineRule="auto"/>
        <w:ind w:left="540" w:hanging="271"/>
      </w:pPr>
      <w:r>
        <w:t>The API stores events idempotently, then suppresses insignificant states when building the dashboard event feed.</w:t>
      </w:r>
    </w:p>
    <w:p>
      <w:pPr>
        <w:pStyle w:val="ListNumber"/>
        <w:spacing w:after="80" w:line="300" w:lineRule="auto"/>
        <w:ind w:left="540" w:hanging="271"/>
      </w:pPr>
      <w:r>
        <w:t>Soter door and conversation history is classified into privacy-minimised event types.</w:t>
      </w:r>
    </w:p>
    <w:p>
      <w:pPr>
        <w:pStyle w:val="ListNumber"/>
        <w:spacing w:after="80" w:line="300" w:lineRule="auto"/>
        <w:ind w:left="540" w:hanging="271"/>
      </w:pPr>
      <w:r>
        <w:t>At each reporting checkpoint, the preceding local-time activity period is converted into one feature vector.</w:t>
      </w:r>
    </w:p>
    <w:p>
      <w:pPr>
        <w:pStyle w:val="ListNumber"/>
        <w:spacing w:after="80" w:line="300" w:lineRule="auto"/>
        <w:ind w:left="540" w:hanging="271"/>
      </w:pPr>
      <w:r>
        <w:t>That vector is compared only with historical vectors from the same reporting checkpoint.</w:t>
      </w:r>
    </w:p>
    <w:p>
      <w:pPr>
        <w:pStyle w:val="ListNumber"/>
        <w:spacing w:after="80" w:line="300" w:lineRule="auto"/>
        <w:ind w:left="540" w:hanging="271"/>
      </w:pPr>
      <w:r>
        <w:t>The robust distance becomes a 0–100 normality score; persistent low scores can create an alert.</w:t>
      </w:r>
    </w:p>
    <w:p>
      <w:r>
        <w:br w:type="page"/>
      </w:r>
    </w:p>
    <w:p>
      <w:pPr>
        <w:pStyle w:val="Heading1"/>
      </w:pPr>
      <w:r>
        <w:t>3. Significant activity events</w:t>
      </w:r>
    </w:p>
    <w:p>
      <w:r>
        <w:t>The event explorer and rolling activity chart use the following significance rules. Raw off/cleared/zero records remain available for internal session construction where needed, but are not presented as meaningful events.</w:t>
      </w:r>
    </w:p>
    <w:tbl>
      <w:tblPr>
        <w:tblStyle w:val="TableGrid"/>
        <w:tblW w:type="dxa" w:w="9360"/>
        <w:jc w:val="left"/>
        <w:tblLayout w:type="fixed"/>
        <w:tblLook w:firstColumn="1" w:firstRow="1" w:lastColumn="0" w:lastRow="0" w:noHBand="0" w:noVBand="1" w:val="04A0"/>
        <w:tblInd w:w="120" w:type="dxa"/>
      </w:tblPr>
      <w:tblGrid>
        <w:gridCol w:w="1550"/>
        <w:gridCol w:w="1900"/>
        <w:gridCol w:w="3240"/>
        <w:gridCol w:w="2670"/>
      </w:tblGrid>
      <w:tr>
        <w:trPr>
          <w:tblHeader w:val="true"/>
          <w:cantSplit/>
        </w:trPr>
        <w:tc>
          <w:tcPr>
            <w:tcW w:type="dxa" w:w="1550"/>
            <w:shd w:fill="167A68"/>
            <w:tcMar>
              <w:top w:w="80" w:type="dxa"/>
              <w:start w:w="120" w:type="dxa"/>
              <w:bottom w:w="80" w:type="dxa"/>
              <w:end w:w="120" w:type="dxa"/>
            </w:tcMar>
            <w:vAlign w:val="center"/>
          </w:tcPr>
          <w:p>
            <w:pPr>
              <w:spacing w:after="0"/>
            </w:pPr>
            <w:r>
              <w:rPr>
                <w:rFonts w:ascii="Calibri" w:hAnsi="Calibri"/>
                <w:b/>
                <w:color w:val="FFFFFF"/>
                <w:sz w:val="18"/>
              </w:rPr>
              <w:t>Source</w:t>
            </w:r>
          </w:p>
        </w:tc>
        <w:tc>
          <w:tcPr>
            <w:tcW w:type="dxa" w:w="1900"/>
            <w:shd w:fill="167A68"/>
            <w:tcMar>
              <w:top w:w="80" w:type="dxa"/>
              <w:start w:w="120" w:type="dxa"/>
              <w:bottom w:w="80" w:type="dxa"/>
              <w:end w:w="120" w:type="dxa"/>
            </w:tcMar>
            <w:vAlign w:val="center"/>
          </w:tcPr>
          <w:p>
            <w:pPr>
              <w:spacing w:after="0"/>
            </w:pPr>
            <w:r>
              <w:rPr>
                <w:rFonts w:ascii="Calibri" w:hAnsi="Calibri"/>
                <w:b/>
                <w:color w:val="FFFFFF"/>
                <w:sz w:val="18"/>
              </w:rPr>
              <w:t>Significant event</w:t>
            </w:r>
          </w:p>
        </w:tc>
        <w:tc>
          <w:tcPr>
            <w:tcW w:type="dxa" w:w="3240"/>
            <w:shd w:fill="167A68"/>
            <w:tcMar>
              <w:top w:w="80" w:type="dxa"/>
              <w:start w:w="120" w:type="dxa"/>
              <w:bottom w:w="80" w:type="dxa"/>
              <w:end w:w="120" w:type="dxa"/>
            </w:tcMar>
            <w:vAlign w:val="center"/>
          </w:tcPr>
          <w:p>
            <w:pPr>
              <w:spacing w:after="0"/>
            </w:pPr>
            <w:r>
              <w:rPr>
                <w:rFonts w:ascii="Calibri" w:hAnsi="Calibri"/>
                <w:b/>
                <w:color w:val="FFFFFF"/>
                <w:sz w:val="18"/>
              </w:rPr>
              <w:t>Included rule</w:t>
            </w:r>
          </w:p>
        </w:tc>
        <w:tc>
          <w:tcPr>
            <w:tcW w:type="dxa" w:w="2670"/>
            <w:shd w:fill="167A68"/>
            <w:tcMar>
              <w:top w:w="80" w:type="dxa"/>
              <w:start w:w="120" w:type="dxa"/>
              <w:bottom w:w="80" w:type="dxa"/>
              <w:end w:w="120" w:type="dxa"/>
            </w:tcMar>
            <w:vAlign w:val="center"/>
          </w:tcPr>
          <w:p>
            <w:pPr>
              <w:spacing w:after="0"/>
            </w:pPr>
            <w:r>
              <w:rPr>
                <w:rFonts w:ascii="Calibri" w:hAnsi="Calibri"/>
                <w:b/>
                <w:color w:val="FFFFFF"/>
                <w:sz w:val="18"/>
              </w:rPr>
              <w:t>Excluded noise</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Movement sensor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Movement detected</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State is on, detected, true, or 1.</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off, cleared, false, and 0 states.</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Kettle / non-TV power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Positive appliance reading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Numeric value is greater than 0.</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0 W and non-numeric values.</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Current sensor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Positive current reading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Numeric value is greater than 0.</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0 A and non-numeric values.</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Television power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TV viewing period</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A debounced session above the TV threshold.</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Individual readings, short spikes, and the known 03:00 artefact.</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Soter door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Door opening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Door event classified as opened.</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Door-closed records are not shown as activity.</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Soter door</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Door left open</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Door event classified as left_open.</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No suppression.</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Soter interaction</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Occupant leaving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Conversation/door context indicates a household exit.</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Generic interactions with no departure evidence.</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Soter interaction</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Occupant returning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Resident return, recognition, or explicit Judy self-identification in return context.</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A visitor merely saying they came to see Judy.</w:t>
            </w:r>
          </w:p>
        </w:tc>
      </w:tr>
      <w:tr>
        <w:trPr>
          <w:cantSplit/>
        </w:trPr>
        <w:tc>
          <w:tcPr>
            <w:tcW w:type="dxa" w:w="1550"/>
            <w:tcMar>
              <w:top w:w="80" w:type="dxa"/>
              <w:start w:w="120" w:type="dxa"/>
              <w:bottom w:w="80" w:type="dxa"/>
              <w:end w:w="120" w:type="dxa"/>
            </w:tcMar>
            <w:vAlign w:val="center"/>
          </w:tcPr>
          <w:p>
            <w:pPr>
              <w:spacing w:after="0" w:line="269" w:lineRule="auto"/>
            </w:pPr>
            <w:r>
              <w:rPr>
                <w:rFonts w:ascii="Calibri" w:hAnsi="Calibri"/>
                <w:b/>
                <w:color w:val="183E47"/>
                <w:sz w:val="17"/>
              </w:rPr>
              <w:t>Soter interaction</w:t>
            </w:r>
          </w:p>
        </w:tc>
        <w:tc>
          <w:tcPr>
            <w:tcW w:type="dxa" w:w="1900"/>
            <w:tcMar>
              <w:top w:w="80" w:type="dxa"/>
              <w:start w:w="120" w:type="dxa"/>
              <w:bottom w:w="80" w:type="dxa"/>
              <w:end w:w="120" w:type="dxa"/>
            </w:tcMar>
            <w:vAlign w:val="center"/>
          </w:tcPr>
          <w:p>
            <w:pPr>
              <w:spacing w:after="0" w:line="269" w:lineRule="auto"/>
            </w:pPr>
            <w:r>
              <w:rPr>
                <w:rFonts w:ascii="Calibri" w:hAnsi="Calibri"/>
                <w:b w:val="0"/>
                <w:color w:val="183E47"/>
                <w:sz w:val="17"/>
              </w:rPr>
              <w:t>Visitor arriving</w:t>
            </w:r>
          </w:p>
        </w:tc>
        <w:tc>
          <w:tcPr>
            <w:tcW w:type="dxa" w:w="3240"/>
            <w:tcMar>
              <w:top w:w="80" w:type="dxa"/>
              <w:start w:w="120" w:type="dxa"/>
              <w:bottom w:w="80" w:type="dxa"/>
              <w:end w:w="120" w:type="dxa"/>
            </w:tcMar>
            <w:vAlign w:val="center"/>
          </w:tcPr>
          <w:p>
            <w:pPr>
              <w:spacing w:after="0" w:line="269" w:lineRule="auto"/>
            </w:pPr>
            <w:r>
              <w:rPr>
                <w:rFonts w:ascii="Calibri" w:hAnsi="Calibri"/>
                <w:b w:val="0"/>
                <w:color w:val="183E47"/>
                <w:sz w:val="17"/>
              </w:rPr>
              <w:t>Unknown face or visitor-arrival context.</w:t>
            </w:r>
          </w:p>
        </w:tc>
        <w:tc>
          <w:tcPr>
            <w:tcW w:type="dxa" w:w="2670"/>
            <w:tcMar>
              <w:top w:w="80" w:type="dxa"/>
              <w:start w:w="120" w:type="dxa"/>
              <w:bottom w:w="80" w:type="dxa"/>
              <w:end w:w="120" w:type="dxa"/>
            </w:tcMar>
            <w:vAlign w:val="center"/>
          </w:tcPr>
          <w:p>
            <w:pPr>
              <w:spacing w:after="0" w:line="269" w:lineRule="auto"/>
            </w:pPr>
            <w:r>
              <w:rPr>
                <w:rFonts w:ascii="Calibri" w:hAnsi="Calibri"/>
                <w:b w:val="0"/>
                <w:color w:val="183E47"/>
                <w:sz w:val="17"/>
              </w:rPr>
              <w:t>Recognised or explicitly self-identified resident return.</w:t>
            </w:r>
          </w:p>
        </w:tc>
      </w:tr>
    </w:tbl>
    <w:p>
      <w:pPr>
        <w:spacing w:after="40"/>
      </w:pPr>
    </w:p>
    <w:p>
      <w:pPr>
        <w:pStyle w:val="Heading1"/>
      </w:pPr>
      <w:r>
        <w:t>4. Television viewing periods</w:t>
      </w:r>
    </w:p>
    <w:p>
      <w:r>
        <w:t>Television behaviour is significant because both the occurrence and duration of viewing are informative. The television entity is recognised when its entity ID or friendly label contains “TV” or “Television” as a distinct term.</w:t>
      </w:r>
    </w:p>
    <w:p>
      <w:pPr>
        <w:pStyle w:val="ListNumber"/>
        <w:spacing w:after="80" w:line="300" w:lineRule="auto"/>
        <w:ind w:left="540" w:hanging="271"/>
      </w:pPr>
      <w:r>
        <w:t>Sort television power samples by timestamp for each television entity.</w:t>
      </w:r>
    </w:p>
    <w:p>
      <w:pPr>
        <w:pStyle w:val="ListNumber"/>
        <w:spacing w:after="80" w:line="300" w:lineRule="auto"/>
        <w:ind w:left="540" w:hanging="271"/>
      </w:pPr>
      <w:r>
        <w:t>Start a viewing period when power is at least 5 W.</w:t>
      </w:r>
    </w:p>
    <w:p>
      <w:pPr>
        <w:pStyle w:val="ListNumber"/>
        <w:spacing w:after="80" w:line="300" w:lineRule="auto"/>
        <w:ind w:left="540" w:hanging="271"/>
      </w:pPr>
      <w:r>
        <w:t>Keep the period open while subsequent readings remain at or above 5 W.</w:t>
      </w:r>
    </w:p>
    <w:p>
      <w:pPr>
        <w:pStyle w:val="ListNumber"/>
        <w:spacing w:after="80" w:line="300" w:lineRule="auto"/>
        <w:ind w:left="540" w:hanging="271"/>
      </w:pPr>
      <w:r>
        <w:t>Close the period at the first reading below 5 W. If no off reading exists, close it provisionally at the query or checkpoint end and mark it ongoing.</w:t>
      </w:r>
    </w:p>
    <w:p>
      <w:pPr>
        <w:pStyle w:val="ListNumber"/>
        <w:spacing w:after="80" w:line="300" w:lineRule="auto"/>
        <w:ind w:left="540" w:hanging="271"/>
      </w:pPr>
      <w:r>
        <w:t>Discard periods shorter than 5 minutes.</w:t>
      </w:r>
    </w:p>
    <w:p>
      <w:pPr>
        <w:pStyle w:val="ListNumber"/>
        <w:spacing w:after="80" w:line="300" w:lineRule="auto"/>
        <w:ind w:left="540" w:hanging="271"/>
      </w:pPr>
      <w:r>
        <w:t>Discard a period that starts between 02:45 and 03:20 local time and lasts 45 minutes or less. This is the configured rule for the known 03:00 artefactual spike.</w:t>
      </w:r>
    </w:p>
    <w:p>
      <w:pPr>
        <w:spacing w:before="100" w:after="180" w:line="283" w:lineRule="auto"/>
        <w:ind w:left="230" w:right="230"/>
        <w:shd w:fill="FFF4E2"/>
      </w:pPr>
      <w:r>
        <w:rPr>
          <w:rFonts w:ascii="Calibri" w:hAnsi="Calibri"/>
          <w:b/>
          <w:color w:val="8B5E26"/>
          <w:sz w:val="20"/>
        </w:rPr>
        <w:t xml:space="preserve">Tunable parameters  </w:t>
      </w:r>
      <w:r>
        <w:rPr>
          <w:rFonts w:ascii="Calibri" w:hAnsi="Calibri"/>
          <w:color w:val="8B5E26"/>
          <w:sz w:val="20"/>
        </w:rPr>
        <w:t>5 W, 5 minutes, 02:45–03:20, and 45 minutes are implementation parameters, not universal facts. They should be adjusted if observation of sensor.tv_power shows that genuine viewing or the artefact behaves differently.</w:t>
      </w:r>
    </w:p>
    <w:p>
      <w:pPr>
        <w:pStyle w:val="Heading1"/>
      </w:pPr>
      <w:r>
        <w:t>5. Reporting checkpoints and analysis periods</w:t>
      </w:r>
    </w:p>
    <w:p>
      <w:r>
        <w:t>Normality is calculated only three times per day. Each checkpoint summarises the preceding six local-clock hours. The variable daytime period from 09:00 to 15:00 is intentionally not scored.</w:t>
      </w:r>
    </w:p>
    <w:tbl>
      <w:tblPr>
        <w:tblStyle w:val="TableGrid"/>
        <w:tblW w:type="dxa" w:w="9360"/>
        <w:jc w:val="left"/>
        <w:tblLayout w:type="fixed"/>
        <w:tblLook w:firstColumn="1" w:firstRow="1" w:lastColumn="0" w:lastRow="0" w:noHBand="0" w:noVBand="1" w:val="04A0"/>
        <w:tblInd w:w="120" w:type="dxa"/>
      </w:tblPr>
      <w:tblGrid>
        <w:gridCol w:w="1250"/>
        <w:gridCol w:w="1700"/>
        <w:gridCol w:w="3450"/>
        <w:gridCol w:w="2960"/>
      </w:tblGrid>
      <w:tr>
        <w:trPr>
          <w:tblHeader w:val="true"/>
          <w:cantSplit/>
        </w:trPr>
        <w:tc>
          <w:tcPr>
            <w:tcW w:type="dxa" w:w="1250"/>
            <w:shd w:fill="167A68"/>
            <w:tcMar>
              <w:top w:w="80" w:type="dxa"/>
              <w:start w:w="120" w:type="dxa"/>
              <w:bottom w:w="80" w:type="dxa"/>
              <w:end w:w="120" w:type="dxa"/>
            </w:tcMar>
            <w:vAlign w:val="center"/>
          </w:tcPr>
          <w:p>
            <w:pPr>
              <w:spacing w:after="0"/>
            </w:pPr>
            <w:r>
              <w:rPr>
                <w:rFonts w:ascii="Calibri" w:hAnsi="Calibri"/>
                <w:b/>
                <w:color w:val="FFFFFF"/>
                <w:sz w:val="18"/>
              </w:rPr>
              <w:t>Checkpoint</w:t>
            </w:r>
          </w:p>
        </w:tc>
        <w:tc>
          <w:tcPr>
            <w:tcW w:type="dxa" w:w="1700"/>
            <w:shd w:fill="167A68"/>
            <w:tcMar>
              <w:top w:w="80" w:type="dxa"/>
              <w:start w:w="120" w:type="dxa"/>
              <w:bottom w:w="80" w:type="dxa"/>
              <w:end w:w="120" w:type="dxa"/>
            </w:tcMar>
            <w:vAlign w:val="center"/>
          </w:tcPr>
          <w:p>
            <w:pPr>
              <w:spacing w:after="0"/>
            </w:pPr>
            <w:r>
              <w:rPr>
                <w:rFonts w:ascii="Calibri" w:hAnsi="Calibri"/>
                <w:b/>
                <w:color w:val="FFFFFF"/>
                <w:sz w:val="18"/>
              </w:rPr>
              <w:t>Activity period</w:t>
            </w:r>
          </w:p>
        </w:tc>
        <w:tc>
          <w:tcPr>
            <w:tcW w:type="dxa" w:w="3450"/>
            <w:shd w:fill="167A68"/>
            <w:tcMar>
              <w:top w:w="80" w:type="dxa"/>
              <w:start w:w="120" w:type="dxa"/>
              <w:bottom w:w="80" w:type="dxa"/>
              <w:end w:w="120" w:type="dxa"/>
            </w:tcMar>
            <w:vAlign w:val="center"/>
          </w:tcPr>
          <w:p>
            <w:pPr>
              <w:spacing w:after="0"/>
            </w:pPr>
            <w:r>
              <w:rPr>
                <w:rFonts w:ascii="Calibri" w:hAnsi="Calibri"/>
                <w:b/>
                <w:color w:val="FFFFFF"/>
                <w:sz w:val="18"/>
              </w:rPr>
              <w:t>Purpose</w:t>
            </w:r>
          </w:p>
        </w:tc>
        <w:tc>
          <w:tcPr>
            <w:tcW w:type="dxa" w:w="2960"/>
            <w:shd w:fill="167A68"/>
            <w:tcMar>
              <w:top w:w="80" w:type="dxa"/>
              <w:start w:w="120" w:type="dxa"/>
              <w:bottom w:w="80" w:type="dxa"/>
              <w:end w:w="120" w:type="dxa"/>
            </w:tcMar>
            <w:vAlign w:val="center"/>
          </w:tcPr>
          <w:p>
            <w:pPr>
              <w:spacing w:after="0"/>
            </w:pPr>
            <w:r>
              <w:rPr>
                <w:rFonts w:ascii="Calibri" w:hAnsi="Calibri"/>
                <w:b/>
                <w:color w:val="FFFFFF"/>
                <w:sz w:val="18"/>
              </w:rPr>
              <w:t>Baseline compared with</w:t>
            </w:r>
          </w:p>
        </w:tc>
      </w:tr>
      <w:tr>
        <w:trPr>
          <w:cantSplit/>
        </w:trPr>
        <w:tc>
          <w:tcPr>
            <w:tcW w:type="dxa" w:w="1250"/>
            <w:tcMar>
              <w:top w:w="80" w:type="dxa"/>
              <w:start w:w="120" w:type="dxa"/>
              <w:bottom w:w="80" w:type="dxa"/>
              <w:end w:w="120" w:type="dxa"/>
            </w:tcMar>
            <w:vAlign w:val="center"/>
          </w:tcPr>
          <w:p>
            <w:pPr>
              <w:spacing w:after="0" w:line="269" w:lineRule="auto"/>
            </w:pPr>
            <w:r>
              <w:rPr>
                <w:rFonts w:ascii="Calibri" w:hAnsi="Calibri"/>
                <w:b/>
                <w:color w:val="183E47"/>
                <w:sz w:val="18"/>
              </w:rPr>
              <w:t>03:00</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21:00–03:00</w:t>
            </w:r>
          </w:p>
        </w:tc>
        <w:tc>
          <w:tcPr>
            <w:tcW w:type="dxa" w:w="3450"/>
            <w:tcMar>
              <w:top w:w="80" w:type="dxa"/>
              <w:start w:w="120" w:type="dxa"/>
              <w:bottom w:w="80" w:type="dxa"/>
              <w:end w:w="120" w:type="dxa"/>
            </w:tcMar>
            <w:vAlign w:val="center"/>
          </w:tcPr>
          <w:p>
            <w:pPr>
              <w:spacing w:after="0" w:line="269" w:lineRule="auto"/>
            </w:pPr>
            <w:r>
              <w:rPr>
                <w:rFonts w:ascii="Calibri" w:hAnsi="Calibri"/>
                <w:b w:val="0"/>
                <w:color w:val="183E47"/>
                <w:sz w:val="18"/>
              </w:rPr>
              <w:t>Overnight / late-evening pattern</w:t>
            </w:r>
          </w:p>
        </w:tc>
        <w:tc>
          <w:tcPr>
            <w:tcW w:type="dxa" w:w="2960"/>
            <w:tcMar>
              <w:top w:w="80" w:type="dxa"/>
              <w:start w:w="120" w:type="dxa"/>
              <w:bottom w:w="80" w:type="dxa"/>
              <w:end w:w="120" w:type="dxa"/>
            </w:tcMar>
            <w:vAlign w:val="center"/>
          </w:tcPr>
          <w:p>
            <w:pPr>
              <w:spacing w:after="0" w:line="269" w:lineRule="auto"/>
            </w:pPr>
            <w:r>
              <w:rPr>
                <w:rFonts w:ascii="Calibri" w:hAnsi="Calibri"/>
                <w:b w:val="0"/>
                <w:color w:val="183E47"/>
                <w:sz w:val="18"/>
              </w:rPr>
              <w:t>Prior 03:00 checkpoints only</w:t>
            </w:r>
          </w:p>
        </w:tc>
      </w:tr>
      <w:tr>
        <w:trPr>
          <w:cantSplit/>
        </w:trPr>
        <w:tc>
          <w:tcPr>
            <w:tcW w:type="dxa" w:w="1250"/>
            <w:tcMar>
              <w:top w:w="80" w:type="dxa"/>
              <w:start w:w="120" w:type="dxa"/>
              <w:bottom w:w="80" w:type="dxa"/>
              <w:end w:w="120" w:type="dxa"/>
            </w:tcMar>
            <w:vAlign w:val="center"/>
          </w:tcPr>
          <w:p>
            <w:pPr>
              <w:spacing w:after="0" w:line="269" w:lineRule="auto"/>
            </w:pPr>
            <w:r>
              <w:rPr>
                <w:rFonts w:ascii="Calibri" w:hAnsi="Calibri"/>
                <w:b/>
                <w:color w:val="183E47"/>
                <w:sz w:val="18"/>
              </w:rPr>
              <w:t>09:00</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03:00–09:00</w:t>
            </w:r>
          </w:p>
        </w:tc>
        <w:tc>
          <w:tcPr>
            <w:tcW w:type="dxa" w:w="3450"/>
            <w:tcMar>
              <w:top w:w="80" w:type="dxa"/>
              <w:start w:w="120" w:type="dxa"/>
              <w:bottom w:w="80" w:type="dxa"/>
              <w:end w:w="120" w:type="dxa"/>
            </w:tcMar>
            <w:vAlign w:val="center"/>
          </w:tcPr>
          <w:p>
            <w:pPr>
              <w:spacing w:after="0" w:line="269" w:lineRule="auto"/>
            </w:pPr>
            <w:r>
              <w:rPr>
                <w:rFonts w:ascii="Calibri" w:hAnsi="Calibri"/>
                <w:b w:val="0"/>
                <w:color w:val="183E47"/>
                <w:sz w:val="18"/>
              </w:rPr>
              <w:t>Night-to-morning pattern</w:t>
            </w:r>
          </w:p>
        </w:tc>
        <w:tc>
          <w:tcPr>
            <w:tcW w:type="dxa" w:w="2960"/>
            <w:tcMar>
              <w:top w:w="80" w:type="dxa"/>
              <w:start w:w="120" w:type="dxa"/>
              <w:bottom w:w="80" w:type="dxa"/>
              <w:end w:w="120" w:type="dxa"/>
            </w:tcMar>
            <w:vAlign w:val="center"/>
          </w:tcPr>
          <w:p>
            <w:pPr>
              <w:spacing w:after="0" w:line="269" w:lineRule="auto"/>
            </w:pPr>
            <w:r>
              <w:rPr>
                <w:rFonts w:ascii="Calibri" w:hAnsi="Calibri"/>
                <w:b w:val="0"/>
                <w:color w:val="183E47"/>
                <w:sz w:val="18"/>
              </w:rPr>
              <w:t>Prior 09:00 checkpoints only</w:t>
            </w:r>
          </w:p>
        </w:tc>
      </w:tr>
      <w:tr>
        <w:trPr>
          <w:cantSplit/>
        </w:trPr>
        <w:tc>
          <w:tcPr>
            <w:tcW w:type="dxa" w:w="1250"/>
            <w:tcMar>
              <w:top w:w="80" w:type="dxa"/>
              <w:start w:w="120" w:type="dxa"/>
              <w:bottom w:w="80" w:type="dxa"/>
              <w:end w:w="120" w:type="dxa"/>
            </w:tcMar>
            <w:vAlign w:val="center"/>
          </w:tcPr>
          <w:p>
            <w:pPr>
              <w:spacing w:after="0" w:line="269" w:lineRule="auto"/>
            </w:pPr>
            <w:r>
              <w:rPr>
                <w:rFonts w:ascii="Calibri" w:hAnsi="Calibri"/>
                <w:b/>
                <w:color w:val="183E47"/>
                <w:sz w:val="18"/>
              </w:rPr>
              <w:t>21:00</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15:00–21:00</w:t>
            </w:r>
          </w:p>
        </w:tc>
        <w:tc>
          <w:tcPr>
            <w:tcW w:type="dxa" w:w="3450"/>
            <w:tcMar>
              <w:top w:w="80" w:type="dxa"/>
              <w:start w:w="120" w:type="dxa"/>
              <w:bottom w:w="80" w:type="dxa"/>
              <w:end w:w="120" w:type="dxa"/>
            </w:tcMar>
            <w:vAlign w:val="center"/>
          </w:tcPr>
          <w:p>
            <w:pPr>
              <w:spacing w:after="0" w:line="269" w:lineRule="auto"/>
            </w:pPr>
            <w:r>
              <w:rPr>
                <w:rFonts w:ascii="Calibri" w:hAnsi="Calibri"/>
                <w:b w:val="0"/>
                <w:color w:val="183E47"/>
                <w:sz w:val="18"/>
              </w:rPr>
              <w:t>Afternoon-to-evening pattern</w:t>
            </w:r>
          </w:p>
        </w:tc>
        <w:tc>
          <w:tcPr>
            <w:tcW w:type="dxa" w:w="2960"/>
            <w:tcMar>
              <w:top w:w="80" w:type="dxa"/>
              <w:start w:w="120" w:type="dxa"/>
              <w:bottom w:w="80" w:type="dxa"/>
              <w:end w:w="120" w:type="dxa"/>
            </w:tcMar>
            <w:vAlign w:val="center"/>
          </w:tcPr>
          <w:p>
            <w:pPr>
              <w:spacing w:after="0" w:line="269" w:lineRule="auto"/>
            </w:pPr>
            <w:r>
              <w:rPr>
                <w:rFonts w:ascii="Calibri" w:hAnsi="Calibri"/>
                <w:b w:val="0"/>
                <w:color w:val="183E47"/>
                <w:sz w:val="18"/>
              </w:rPr>
              <w:t>Prior 21:00 checkpoints only</w:t>
            </w:r>
          </w:p>
        </w:tc>
      </w:tr>
      <w:tr>
        <w:trPr>
          <w:cantSplit/>
        </w:trPr>
        <w:tc>
          <w:tcPr>
            <w:tcW w:type="dxa" w:w="1250"/>
            <w:tcMar>
              <w:top w:w="80" w:type="dxa"/>
              <w:start w:w="120" w:type="dxa"/>
              <w:bottom w:w="80" w:type="dxa"/>
              <w:end w:w="120" w:type="dxa"/>
            </w:tcMar>
            <w:vAlign w:val="center"/>
          </w:tcPr>
          <w:p>
            <w:pPr>
              <w:spacing w:after="0" w:line="269" w:lineRule="auto"/>
            </w:pPr>
            <w:r>
              <w:rPr>
                <w:rFonts w:ascii="Calibri" w:hAnsi="Calibri"/>
                <w:b/>
                <w:color w:val="183E47"/>
                <w:sz w:val="18"/>
              </w:rPr>
              <w:t>No score</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09:00–15:00</w:t>
            </w:r>
          </w:p>
        </w:tc>
        <w:tc>
          <w:tcPr>
            <w:tcW w:type="dxa" w:w="3450"/>
            <w:tcMar>
              <w:top w:w="80" w:type="dxa"/>
              <w:start w:w="120" w:type="dxa"/>
              <w:bottom w:w="80" w:type="dxa"/>
              <w:end w:w="120" w:type="dxa"/>
            </w:tcMar>
            <w:vAlign w:val="center"/>
          </w:tcPr>
          <w:p>
            <w:pPr>
              <w:spacing w:after="0" w:line="269" w:lineRule="auto"/>
            </w:pPr>
            <w:r>
              <w:rPr>
                <w:rFonts w:ascii="Calibri" w:hAnsi="Calibri"/>
                <w:b w:val="0"/>
                <w:color w:val="183E47"/>
                <w:sz w:val="18"/>
              </w:rPr>
              <w:t>Deliberately excluded because daytime activity varies</w:t>
            </w:r>
          </w:p>
        </w:tc>
        <w:tc>
          <w:tcPr>
            <w:tcW w:type="dxa" w:w="2960"/>
            <w:tcMar>
              <w:top w:w="80" w:type="dxa"/>
              <w:start w:w="120" w:type="dxa"/>
              <w:bottom w:w="80" w:type="dxa"/>
              <w:end w:w="120" w:type="dxa"/>
            </w:tcMar>
            <w:vAlign w:val="center"/>
          </w:tcPr>
          <w:p>
            <w:pPr>
              <w:spacing w:after="0" w:line="269" w:lineRule="auto"/>
            </w:pPr>
            <w:r>
              <w:rPr>
                <w:rFonts w:ascii="Calibri" w:hAnsi="Calibri"/>
                <w:b w:val="0"/>
                <w:color w:val="183E47"/>
                <w:sz w:val="18"/>
              </w:rPr>
              <w:t>Not applicable</w:t>
            </w:r>
          </w:p>
        </w:tc>
      </w:tr>
    </w:tbl>
    <w:p>
      <w:pPr>
        <w:spacing w:after="40"/>
      </w:pPr>
    </w:p>
    <w:p>
      <w:pPr>
        <w:spacing w:before="100" w:after="180" w:line="283" w:lineRule="auto"/>
        <w:ind w:left="230" w:right="230"/>
        <w:shd w:fill="E8F1ED"/>
      </w:pPr>
      <w:r>
        <w:rPr>
          <w:rFonts w:ascii="Calibri" w:hAnsi="Calibri"/>
          <w:b/>
          <w:color w:val="183E47"/>
          <w:sz w:val="20"/>
        </w:rPr>
        <w:t xml:space="preserve">Daylight saving  </w:t>
      </w:r>
      <w:r>
        <w:rPr>
          <w:rFonts w:ascii="Calibri" w:hAnsi="Calibri"/>
          <w:color w:val="183E47"/>
          <w:sz w:val="20"/>
        </w:rPr>
        <w:t>Periods are defined in local clock time. On a daylight-saving transition, a nominal six-hour local period can contain five or seven elapsed UTC hours.</w:t>
      </w:r>
    </w:p>
    <w:p>
      <w:pPr>
        <w:pStyle w:val="Heading1"/>
      </w:pPr>
      <w:r>
        <w:t>6. Checkpoint feature vector</w:t>
      </w:r>
    </w:p>
    <w:p>
      <w:r>
        <w:t>For a checkpoint with start S and end E, include events whose timestamp is at or after S and before E. TV sessions use a 24-hour look-back so a period that began before S can still contribute its overlap with the checkpoint.</w:t>
      </w:r>
    </w:p>
    <w:tbl>
      <w:tblPr>
        <w:tblStyle w:val="TableGrid"/>
        <w:tblW w:type="dxa" w:w="9360"/>
        <w:jc w:val="left"/>
        <w:tblLayout w:type="fixed"/>
        <w:tblLook w:firstColumn="1" w:firstRow="1" w:lastColumn="0" w:lastRow="0" w:noHBand="0" w:noVBand="1" w:val="04A0"/>
        <w:tblInd w:w="120" w:type="dxa"/>
      </w:tblPr>
      <w:tblGrid>
        <w:gridCol w:w="1900"/>
        <w:gridCol w:w="4640"/>
        <w:gridCol w:w="2820"/>
      </w:tblGrid>
      <w:tr>
        <w:trPr>
          <w:tblHeader w:val="true"/>
          <w:cantSplit/>
        </w:trPr>
        <w:tc>
          <w:tcPr>
            <w:tcW w:type="dxa" w:w="1900"/>
            <w:shd w:fill="167A68"/>
            <w:tcMar>
              <w:top w:w="80" w:type="dxa"/>
              <w:start w:w="120" w:type="dxa"/>
              <w:bottom w:w="80" w:type="dxa"/>
              <w:end w:w="120" w:type="dxa"/>
            </w:tcMar>
            <w:vAlign w:val="center"/>
          </w:tcPr>
          <w:p>
            <w:pPr>
              <w:spacing w:after="0"/>
            </w:pPr>
            <w:r>
              <w:rPr>
                <w:rFonts w:ascii="Calibri" w:hAnsi="Calibri"/>
                <w:b/>
                <w:color w:val="FFFFFF"/>
                <w:sz w:val="18"/>
              </w:rPr>
              <w:t>Feature</w:t>
            </w:r>
          </w:p>
        </w:tc>
        <w:tc>
          <w:tcPr>
            <w:tcW w:type="dxa" w:w="4640"/>
            <w:shd w:fill="167A68"/>
            <w:tcMar>
              <w:top w:w="80" w:type="dxa"/>
              <w:start w:w="120" w:type="dxa"/>
              <w:bottom w:w="80" w:type="dxa"/>
              <w:end w:w="120" w:type="dxa"/>
            </w:tcMar>
            <w:vAlign w:val="center"/>
          </w:tcPr>
          <w:p>
            <w:pPr>
              <w:spacing w:after="0"/>
            </w:pPr>
            <w:r>
              <w:rPr>
                <w:rFonts w:ascii="Calibri" w:hAnsi="Calibri"/>
                <w:b/>
                <w:color w:val="FFFFFF"/>
                <w:sz w:val="18"/>
              </w:rPr>
              <w:t>Calculation</w:t>
            </w:r>
          </w:p>
        </w:tc>
        <w:tc>
          <w:tcPr>
            <w:tcW w:type="dxa" w:w="2820"/>
            <w:shd w:fill="167A68"/>
            <w:tcMar>
              <w:top w:w="80" w:type="dxa"/>
              <w:start w:w="120" w:type="dxa"/>
              <w:bottom w:w="80" w:type="dxa"/>
              <w:end w:w="120" w:type="dxa"/>
            </w:tcMar>
            <w:vAlign w:val="center"/>
          </w:tcPr>
          <w:p>
            <w:pPr>
              <w:spacing w:after="0"/>
            </w:pPr>
            <w:r>
              <w:rPr>
                <w:rFonts w:ascii="Calibri" w:hAnsi="Calibri"/>
                <w:b/>
                <w:color w:val="FFFFFF"/>
                <w:sz w:val="18"/>
              </w:rPr>
              <w:t>Interpretation</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motionEvents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significant movement-detected events in [S, E).</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Amount of movement activity.</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activeMotionSensors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Distinct movement entity IDs with at least one detection.</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Breadth of movement around the home.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currentMean</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Arithmetic mean of positive current readings.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Typical emitted current while an appliance is active.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currentMax</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Maximum positive current reading.</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Highest emitted current reading.</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powerMean</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Arithmetic mean of positive non-TV power readings.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Typical positive appliance reading; not time weighted.</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powerMax</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Maximum positive non-TV power reading.</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Highest non-TV appliance reading.</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tvMinutes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Sum of each valid TV period’s overlap with [S, E), in minutes.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Total viewing time in the checkpoint.</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tvSessions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valid TV periods whose start occurs in [S, E).</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Number of new viewing periods.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doorOpenings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Soter door_opened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Door use.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soterInteractions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generic Soter interaction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Doorstep interaction activity.</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recognizedResidents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resident-recognized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Resident recognition evidence.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arrivals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occupant-returning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Household returns.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departures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occupant-leaving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Household exits.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b/>
                <w:color w:val="183E47"/>
                <w:sz w:val="17"/>
              </w:rPr>
              <w:t>visitorArrivals</w:t>
            </w:r>
          </w:p>
        </w:tc>
        <w:tc>
          <w:tcPr>
            <w:tcW w:type="dxa" w:w="4640"/>
            <w:tcMar>
              <w:top w:w="80" w:type="dxa"/>
              <w:start w:w="120" w:type="dxa"/>
              <w:bottom w:w="80" w:type="dxa"/>
              <w:end w:w="120" w:type="dxa"/>
            </w:tcMar>
            <w:vAlign w:val="center"/>
          </w:tcPr>
          <w:p>
            <w:pPr>
              <w:spacing w:after="0" w:line="269" w:lineRule="auto"/>
            </w:pPr>
            <w:r>
              <w:rPr>
                <w:rFonts w:ascii="Calibri" w:hAnsi="Calibri"/>
                <w:b w:val="0"/>
                <w:color w:val="183E47"/>
                <w:sz w:val="17"/>
              </w:rPr>
              <w:t>Count visitor-arriving events.</w:t>
            </w:r>
          </w:p>
        </w:tc>
        <w:tc>
          <w:tcPr>
            <w:tcW w:type="dxa" w:w="2820"/>
            <w:tcMar>
              <w:top w:w="80" w:type="dxa"/>
              <w:start w:w="120" w:type="dxa"/>
              <w:bottom w:w="80" w:type="dxa"/>
              <w:end w:w="120" w:type="dxa"/>
            </w:tcMar>
            <w:vAlign w:val="center"/>
          </w:tcPr>
          <w:p>
            <w:pPr>
              <w:spacing w:after="0" w:line="269" w:lineRule="auto"/>
            </w:pPr>
            <w:r>
              <w:rPr>
                <w:rFonts w:ascii="Calibri" w:hAnsi="Calibri"/>
                <w:b w:val="0"/>
                <w:color w:val="183E47"/>
                <w:sz w:val="17"/>
              </w:rPr>
              <w:t>Visitor arrivals.</w:t>
            </w:r>
          </w:p>
        </w:tc>
      </w:tr>
    </w:tbl>
    <w:p>
      <w:pPr>
        <w:spacing w:after="40"/>
      </w:pPr>
    </w:p>
    <w:p>
      <w:pPr>
        <w:pStyle w:val="Heading1"/>
      </w:pPr>
      <w:r>
        <w:t>7. Learning the normal baseline</w:t>
      </w:r>
    </w:p>
    <w:p>
      <w:r>
        <w:t>Each reporting time has its own baseline. A 09:00 vector is never compared with 03:00 or 21:00 data. For each feature, the baseline is the same feature from comparable checkpoint vectors within the configured history window.</w:t>
      </w:r>
    </w:p>
    <w:p>
      <w:pPr>
        <w:pStyle w:val="ListBullet"/>
        <w:spacing w:after="80" w:line="300" w:lineRule="auto"/>
        <w:ind w:left="540" w:hanging="271"/>
      </w:pPr>
      <w:r>
        <w:t>Default baseline history: 42 days.</w:t>
      </w:r>
    </w:p>
    <w:p>
      <w:pPr>
        <w:pStyle w:val="ListBullet"/>
        <w:spacing w:after="80" w:line="300" w:lineRule="auto"/>
        <w:ind w:left="540" w:hanging="271"/>
      </w:pPr>
      <w:r>
        <w:t>Default minimum comparable samples: 24 for that specific checkpoint.</w:t>
      </w:r>
    </w:p>
    <w:p>
      <w:pPr>
        <w:pStyle w:val="ListBullet"/>
        <w:spacing w:after="80" w:line="300" w:lineRule="auto"/>
        <w:ind w:left="540" w:hanging="271"/>
      </w:pPr>
      <w:r>
        <w:t>Before the minimum is reached, the checkpoint status is learning and no normality score is produced.</w:t>
      </w:r>
    </w:p>
    <w:p>
      <w:pPr>
        <w:pStyle w:val="ListBullet"/>
        <w:spacing w:after="80" w:line="300" w:lineRule="auto"/>
        <w:ind w:left="540" w:hanging="271"/>
      </w:pPr>
      <w:r>
        <w:t>Older checkpoint records that predate TV fields are treated as having 0 TV minutes and 0 TV sessions for compatibility; rebuilding history is preferable when data is available.</w:t>
      </w:r>
    </w:p>
    <w:p>
      <w:pPr>
        <w:pStyle w:val="Heading1"/>
      </w:pPr>
      <w:r>
        <w:t>8. Robust feature deviation</w:t>
      </w:r>
    </w:p>
    <w:p>
      <w:r>
        <w:t>For each feature i, let x be the current value and let the historical samples be b1…bn. The model uses median and median absolute deviation (MAD), which are less sensitive to isolated outliers than mean and standard deviation.</w:t>
      </w:r>
    </w:p>
    <w:p>
      <w:pPr>
        <w:spacing w:before="80" w:after="160" w:line="276" w:lineRule="auto"/>
        <w:ind w:left="259" w:right="259"/>
        <w:shd w:fill="EFF3F1"/>
      </w:pPr>
      <w:r>
        <w:rPr>
          <w:rFonts w:ascii="Courier New" w:hAnsi="Courier New"/>
          <w:color w:val="183E47"/>
          <w:sz w:val="18"/>
        </w:rPr>
        <w:t>centre_i = median(b1 … bn)</w:t>
        <w:br/>
        <w:t>MAD_i    = median(|bj − centre_i|)</w:t>
        <w:br/>
        <w:t>scale_i  = max(1.4826 × MAD_i, 0.5, 0.5 × sqrt(|centre_i| + 1))</w:t>
        <w:br/>
        <w:t>z_i      = min(6, |x_i − centre_i| / scale_i)</w:t>
      </w:r>
    </w:p>
    <w:p>
      <w:r>
        <w:t>The scale floor prevents a feature with a perfectly flat baseline from producing an infinite deviation. Each z-score is capped at 6 so one feature cannot dominate without bound.</w:t>
      </w:r>
    </w:p>
    <w:p>
      <w:pPr>
        <w:pStyle w:val="Heading1"/>
      </w:pPr>
      <w:r>
        <w:t>9. Feature weights</w:t>
      </w:r>
    </w:p>
    <w:p>
      <w:r>
        <w:t>Weights express the current relative influence of each feature on the combined distance. TV duration and movement event count receive the greatest weight.</w:t>
      </w:r>
    </w:p>
    <w:tbl>
      <w:tblPr>
        <w:tblStyle w:val="TableGrid"/>
        <w:tblW w:type="dxa" w:w="7600"/>
        <w:jc w:val="left"/>
        <w:tblLayout w:type="fixed"/>
        <w:tblLook w:firstColumn="1" w:firstRow="1" w:lastColumn="0" w:lastRow="0" w:noHBand="0" w:noVBand="1" w:val="04A0"/>
        <w:tblInd w:w="120" w:type="dxa"/>
      </w:tblPr>
      <w:tblGrid>
        <w:gridCol w:w="2900"/>
        <w:gridCol w:w="900"/>
        <w:gridCol w:w="2900"/>
        <w:gridCol w:w="900"/>
      </w:tblGrid>
      <w:tr>
        <w:trPr>
          <w:tblHeader w:val="true"/>
          <w:cantSplit/>
        </w:trPr>
        <w:tc>
          <w:tcPr>
            <w:tcW w:type="dxa" w:w="2900"/>
            <w:shd w:fill="167A68"/>
            <w:tcMar>
              <w:top w:w="80" w:type="dxa"/>
              <w:start w:w="120" w:type="dxa"/>
              <w:bottom w:w="80" w:type="dxa"/>
              <w:end w:w="120" w:type="dxa"/>
            </w:tcMar>
            <w:vAlign w:val="center"/>
          </w:tcPr>
          <w:p>
            <w:pPr>
              <w:spacing w:after="0"/>
            </w:pPr>
            <w:r>
              <w:rPr>
                <w:rFonts w:ascii="Calibri" w:hAnsi="Calibri"/>
                <w:b/>
                <w:color w:val="FFFFFF"/>
                <w:sz w:val="18"/>
              </w:rPr>
              <w:t>Feature</w:t>
            </w:r>
          </w:p>
        </w:tc>
        <w:tc>
          <w:tcPr>
            <w:tcW w:type="dxa" w:w="900"/>
            <w:shd w:fill="167A68"/>
            <w:tcMar>
              <w:top w:w="80" w:type="dxa"/>
              <w:start w:w="120" w:type="dxa"/>
              <w:bottom w:w="80" w:type="dxa"/>
              <w:end w:w="120" w:type="dxa"/>
            </w:tcMar>
            <w:vAlign w:val="center"/>
          </w:tcPr>
          <w:p>
            <w:pPr>
              <w:spacing w:after="0"/>
            </w:pPr>
            <w:r>
              <w:rPr>
                <w:rFonts w:ascii="Calibri" w:hAnsi="Calibri"/>
                <w:b/>
                <w:color w:val="FFFFFF"/>
                <w:sz w:val="18"/>
              </w:rPr>
              <w:t>Weight</w:t>
            </w:r>
          </w:p>
        </w:tc>
        <w:tc>
          <w:tcPr>
            <w:tcW w:type="dxa" w:w="2900"/>
            <w:shd w:fill="167A68"/>
            <w:tcMar>
              <w:top w:w="80" w:type="dxa"/>
              <w:start w:w="120" w:type="dxa"/>
              <w:bottom w:w="80" w:type="dxa"/>
              <w:end w:w="120" w:type="dxa"/>
            </w:tcMar>
            <w:vAlign w:val="center"/>
          </w:tcPr>
          <w:p>
            <w:pPr>
              <w:spacing w:after="0"/>
            </w:pPr>
            <w:r>
              <w:rPr>
                <w:rFonts w:ascii="Calibri" w:hAnsi="Calibri"/>
                <w:b/>
                <w:color w:val="FFFFFF"/>
                <w:sz w:val="18"/>
              </w:rPr>
              <w:t>Feature</w:t>
            </w:r>
          </w:p>
        </w:tc>
        <w:tc>
          <w:tcPr>
            <w:tcW w:type="dxa" w:w="900"/>
            <w:shd w:fill="167A68"/>
            <w:tcMar>
              <w:top w:w="80" w:type="dxa"/>
              <w:start w:w="120" w:type="dxa"/>
              <w:bottom w:w="80" w:type="dxa"/>
              <w:end w:w="120" w:type="dxa"/>
            </w:tcMar>
            <w:vAlign w:val="center"/>
          </w:tcPr>
          <w:p>
            <w:pPr>
              <w:spacing w:after="0"/>
            </w:pPr>
            <w:r>
              <w:rPr>
                <w:rFonts w:ascii="Calibri" w:hAnsi="Calibri"/>
                <w:b/>
                <w:color w:val="FFFFFF"/>
                <w:sz w:val="18"/>
              </w:rPr>
              <w:t>Weight</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motionEvents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1.4</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activeMotionSensors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0.8</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currentMean</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1.0</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currentMax</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0.6</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powerMean</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0.5</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powerMax</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0.3</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tvMinutes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1.3</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tvSessions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0.7</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doorOpenings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0.8</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soterInteractions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0.6</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recognizedResidents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0.5</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arrivals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0.5</w:t>
            </w:r>
          </w:p>
        </w:tc>
      </w:tr>
      <w:tr>
        <w:trPr>
          <w:cantSplit/>
        </w:trPr>
        <w:tc>
          <w:tcPr>
            <w:tcW w:type="dxa" w:w="2900"/>
            <w:tcMar>
              <w:top w:w="80" w:type="dxa"/>
              <w:start w:w="120" w:type="dxa"/>
              <w:bottom w:w="80" w:type="dxa"/>
              <w:end w:w="120" w:type="dxa"/>
            </w:tcMar>
            <w:vAlign w:val="center"/>
          </w:tcPr>
          <w:p>
            <w:pPr>
              <w:spacing w:after="0" w:line="269" w:lineRule="auto"/>
            </w:pPr>
            <w:r>
              <w:rPr>
                <w:rFonts w:ascii="Calibri" w:hAnsi="Calibri"/>
                <w:b/>
                <w:color w:val="183E47"/>
                <w:sz w:val="18"/>
              </w:rPr>
              <w:t>departures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0.5</w:t>
            </w:r>
          </w:p>
        </w:tc>
        <w:tc>
          <w:tcPr>
            <w:tcW w:type="dxa" w:w="2900"/>
            <w:tcMar>
              <w:top w:w="80" w:type="dxa"/>
              <w:start w:w="120" w:type="dxa"/>
              <w:bottom w:w="80" w:type="dxa"/>
              <w:end w:w="120" w:type="dxa"/>
            </w:tcMar>
            <w:vAlign w:val="center"/>
          </w:tcPr>
          <w:p>
            <w:pPr>
              <w:spacing w:after="0" w:line="269" w:lineRule="auto"/>
            </w:pPr>
            <w:r>
              <w:rPr>
                <w:rFonts w:ascii="Calibri" w:hAnsi="Calibri"/>
                <w:b w:val="0"/>
                <w:color w:val="183E47"/>
                <w:sz w:val="18"/>
              </w:rPr>
              <w:t>visitorArrivals</w:t>
            </w:r>
          </w:p>
        </w:tc>
        <w:tc>
          <w:tcPr>
            <w:tcW w:type="dxa" w:w="900"/>
            <w:tcMar>
              <w:top w:w="80" w:type="dxa"/>
              <w:start w:w="120" w:type="dxa"/>
              <w:bottom w:w="80" w:type="dxa"/>
              <w:end w:w="120" w:type="dxa"/>
            </w:tcMar>
            <w:vAlign w:val="center"/>
          </w:tcPr>
          <w:p>
            <w:pPr>
              <w:spacing w:after="0" w:line="269" w:lineRule="auto"/>
            </w:pPr>
            <w:r>
              <w:rPr>
                <w:rFonts w:ascii="Calibri" w:hAnsi="Calibri"/>
                <w:b w:val="0"/>
                <w:color w:val="183E47"/>
                <w:sz w:val="18"/>
              </w:rPr>
              <w:t>0.4</w:t>
            </w:r>
          </w:p>
        </w:tc>
      </w:tr>
    </w:tbl>
    <w:p>
      <w:pPr>
        <w:spacing w:after="40"/>
      </w:pPr>
    </w:p>
    <w:p>
      <w:pPr>
        <w:pStyle w:val="Heading1"/>
      </w:pPr>
      <w:r>
        <w:t>10. Normality score</w:t>
      </w:r>
    </w:p>
    <w:p>
      <w:pPr>
        <w:spacing w:before="80" w:after="160" w:line="276" w:lineRule="auto"/>
        <w:ind w:left="259" w:right="259"/>
        <w:shd w:fill="EFF3F1"/>
      </w:pPr>
      <w:r>
        <w:rPr>
          <w:rFonts w:ascii="Courier New" w:hAnsi="Courier New"/>
          <w:color w:val="183E47"/>
          <w:sz w:val="18"/>
        </w:rPr>
        <w:t>distance  = sqrt( sum(weight_i × z_i²) / sum(weight_i) )</w:t>
        <w:br/>
        <w:t>normality = round(100 × exp(−0.5 × distance²))</w:t>
        <w:br/>
        <w:t>anomaly   = 100 − normality</w:t>
      </w:r>
    </w:p>
    <w:p>
      <w:r>
        <w:t>A score near 100 means the feature vector is close to the learned routine for that checkpoint. A lower score means greater combined deviation. The score does not indicate the cause or seriousness of the change.</w:t>
      </w:r>
    </w:p>
    <w:p>
      <w:pPr>
        <w:pStyle w:val="Heading2"/>
      </w:pPr>
      <w:r>
        <w:t>Worked example</w:t>
      </w:r>
    </w:p>
    <w:p>
      <w:r>
        <w:t>Suppose movementEvents has z = 2.0, tvMinutes has z = 1.0, and all other features have z = 0. With total weight 9.9:</w:t>
      </w:r>
    </w:p>
    <w:p>
      <w:pPr>
        <w:spacing w:before="80" w:after="160" w:line="276" w:lineRule="auto"/>
        <w:ind w:left="259" w:right="259"/>
        <w:shd w:fill="EFF3F1"/>
      </w:pPr>
      <w:r>
        <w:rPr>
          <w:rFonts w:ascii="Courier New" w:hAnsi="Courier New"/>
          <w:color w:val="183E47"/>
          <w:sz w:val="18"/>
        </w:rPr>
        <w:t>distance = sqrt((1.4 × 2.0² + 1.3 × 1.0²) / 9.9) = 0.835</w:t>
        <w:br/>
        <w:t>normality = round(100 × exp(−0.5 × 0.835²)) = 71</w:t>
      </w:r>
    </w:p>
    <w:p>
      <w:pPr>
        <w:pStyle w:val="Heading1"/>
      </w:pPr>
      <w:r>
        <w:t>11. Status, explanations, and alerts</w:t>
      </w:r>
    </w:p>
    <w:tbl>
      <w:tblPr>
        <w:tblStyle w:val="TableGrid"/>
        <w:tblW w:type="dxa" w:w="9360"/>
        <w:jc w:val="left"/>
        <w:tblLayout w:type="fixed"/>
        <w:tblLook w:firstColumn="1" w:firstRow="1" w:lastColumn="0" w:lastRow="0" w:noHBand="0" w:noVBand="1" w:val="04A0"/>
        <w:tblInd w:w="120" w:type="dxa"/>
      </w:tblPr>
      <w:tblGrid>
        <w:gridCol w:w="3100"/>
        <w:gridCol w:w="1700"/>
        <w:gridCol w:w="4560"/>
      </w:tblGrid>
      <w:tr>
        <w:trPr>
          <w:tblHeader w:val="true"/>
          <w:cantSplit/>
        </w:trPr>
        <w:tc>
          <w:tcPr>
            <w:tcW w:type="dxa" w:w="3100"/>
            <w:shd w:fill="167A68"/>
            <w:tcMar>
              <w:top w:w="80" w:type="dxa"/>
              <w:start w:w="120" w:type="dxa"/>
              <w:bottom w:w="80" w:type="dxa"/>
              <w:end w:w="120" w:type="dxa"/>
            </w:tcMar>
            <w:vAlign w:val="center"/>
          </w:tcPr>
          <w:p>
            <w:pPr>
              <w:spacing w:after="0"/>
            </w:pPr>
            <w:r>
              <w:rPr>
                <w:rFonts w:ascii="Calibri" w:hAnsi="Calibri"/>
                <w:b/>
                <w:color w:val="FFFFFF"/>
                <w:sz w:val="18"/>
              </w:rPr>
              <w:t>Condition</w:t>
            </w:r>
          </w:p>
        </w:tc>
        <w:tc>
          <w:tcPr>
            <w:tcW w:type="dxa" w:w="1700"/>
            <w:shd w:fill="167A68"/>
            <w:tcMar>
              <w:top w:w="80" w:type="dxa"/>
              <w:start w:w="120" w:type="dxa"/>
              <w:bottom w:w="80" w:type="dxa"/>
              <w:end w:w="120" w:type="dxa"/>
            </w:tcMar>
            <w:vAlign w:val="center"/>
          </w:tcPr>
          <w:p>
            <w:pPr>
              <w:spacing w:after="0"/>
            </w:pPr>
            <w:r>
              <w:rPr>
                <w:rFonts w:ascii="Calibri" w:hAnsi="Calibri"/>
                <w:b/>
                <w:color w:val="FFFFFF"/>
                <w:sz w:val="18"/>
              </w:rPr>
              <w:t>Checkpoint status</w:t>
            </w:r>
          </w:p>
        </w:tc>
        <w:tc>
          <w:tcPr>
            <w:tcW w:type="dxa" w:w="4560"/>
            <w:shd w:fill="167A68"/>
            <w:tcMar>
              <w:top w:w="80" w:type="dxa"/>
              <w:start w:w="120" w:type="dxa"/>
              <w:bottom w:w="80" w:type="dxa"/>
              <w:end w:w="120" w:type="dxa"/>
            </w:tcMar>
            <w:vAlign w:val="center"/>
          </w:tcPr>
          <w:p>
            <w:pPr>
              <w:spacing w:after="0"/>
            </w:pPr>
            <w:r>
              <w:rPr>
                <w:rFonts w:ascii="Calibri" w:hAnsi="Calibri"/>
                <w:b/>
                <w:color w:val="FFFFFF"/>
                <w:sz w:val="18"/>
              </w:rPr>
              <w:t>Action</w:t>
            </w:r>
          </w:p>
        </w:tc>
      </w:tr>
      <w:tr>
        <w:trPr>
          <w:cantSplit/>
        </w:trPr>
        <w:tc>
          <w:tcPr>
            <w:tcW w:type="dxa" w:w="3100"/>
            <w:tcMar>
              <w:top w:w="80" w:type="dxa"/>
              <w:start w:w="120" w:type="dxa"/>
              <w:bottom w:w="80" w:type="dxa"/>
              <w:end w:w="120" w:type="dxa"/>
            </w:tcMar>
            <w:vAlign w:val="center"/>
          </w:tcPr>
          <w:p>
            <w:pPr>
              <w:spacing w:after="0" w:line="269" w:lineRule="auto"/>
            </w:pPr>
            <w:r>
              <w:rPr>
                <w:rFonts w:ascii="Calibri" w:hAnsi="Calibri"/>
                <w:b/>
                <w:color w:val="183E47"/>
                <w:sz w:val="18"/>
              </w:rPr>
              <w:t>Fewer than 24 comparable samples</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learning</w:t>
            </w:r>
          </w:p>
        </w:tc>
        <w:tc>
          <w:tcPr>
            <w:tcW w:type="dxa" w:w="4560"/>
            <w:tcMar>
              <w:top w:w="80" w:type="dxa"/>
              <w:start w:w="120" w:type="dxa"/>
              <w:bottom w:w="80" w:type="dxa"/>
              <w:end w:w="120" w:type="dxa"/>
            </w:tcMar>
            <w:vAlign w:val="center"/>
          </w:tcPr>
          <w:p>
            <w:pPr>
              <w:spacing w:after="0" w:line="269" w:lineRule="auto"/>
            </w:pPr>
            <w:r>
              <w:rPr>
                <w:rFonts w:ascii="Calibri" w:hAnsi="Calibri"/>
                <w:b w:val="0"/>
                <w:color w:val="183E47"/>
                <w:sz w:val="18"/>
              </w:rPr>
              <w:t>Store features; do not produce a score or alert.</w:t>
            </w:r>
          </w:p>
        </w:tc>
      </w:tr>
      <w:tr>
        <w:trPr>
          <w:cantSplit/>
        </w:trPr>
        <w:tc>
          <w:tcPr>
            <w:tcW w:type="dxa" w:w="3100"/>
            <w:tcMar>
              <w:top w:w="80" w:type="dxa"/>
              <w:start w:w="120" w:type="dxa"/>
              <w:bottom w:w="80" w:type="dxa"/>
              <w:end w:w="120" w:type="dxa"/>
            </w:tcMar>
            <w:vAlign w:val="center"/>
          </w:tcPr>
          <w:p>
            <w:pPr>
              <w:spacing w:after="0" w:line="269" w:lineRule="auto"/>
            </w:pPr>
            <w:r>
              <w:rPr>
                <w:rFonts w:ascii="Calibri" w:hAnsi="Calibri"/>
                <w:b/>
                <w:color w:val="183E47"/>
                <w:sz w:val="18"/>
              </w:rPr>
              <w:t>Normality is 30 or higher</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normal</w:t>
            </w:r>
          </w:p>
        </w:tc>
        <w:tc>
          <w:tcPr>
            <w:tcW w:type="dxa" w:w="4560"/>
            <w:tcMar>
              <w:top w:w="80" w:type="dxa"/>
              <w:start w:w="120" w:type="dxa"/>
              <w:bottom w:w="80" w:type="dxa"/>
              <w:end w:w="120" w:type="dxa"/>
            </w:tcMar>
            <w:vAlign w:val="center"/>
          </w:tcPr>
          <w:p>
            <w:pPr>
              <w:spacing w:after="0" w:line="269" w:lineRule="auto"/>
            </w:pPr>
            <w:r>
              <w:rPr>
                <w:rFonts w:ascii="Calibri" w:hAnsi="Calibri"/>
                <w:b w:val="0"/>
                <w:color w:val="183E47"/>
                <w:sz w:val="18"/>
              </w:rPr>
              <w:t>Store score and reset the consecutive-unusual count.</w:t>
            </w:r>
          </w:p>
        </w:tc>
      </w:tr>
      <w:tr>
        <w:trPr>
          <w:cantSplit/>
        </w:trPr>
        <w:tc>
          <w:tcPr>
            <w:tcW w:type="dxa" w:w="3100"/>
            <w:tcMar>
              <w:top w:w="80" w:type="dxa"/>
              <w:start w:w="120" w:type="dxa"/>
              <w:bottom w:w="80" w:type="dxa"/>
              <w:end w:w="120" w:type="dxa"/>
            </w:tcMar>
            <w:vAlign w:val="center"/>
          </w:tcPr>
          <w:p>
            <w:pPr>
              <w:spacing w:after="0" w:line="269" w:lineRule="auto"/>
            </w:pPr>
            <w:r>
              <w:rPr>
                <w:rFonts w:ascii="Calibri" w:hAnsi="Calibri"/>
                <w:b/>
                <w:color w:val="183E47"/>
                <w:sz w:val="18"/>
              </w:rPr>
              <w:t>Normality is below 30</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unusual</w:t>
            </w:r>
          </w:p>
        </w:tc>
        <w:tc>
          <w:tcPr>
            <w:tcW w:type="dxa" w:w="4560"/>
            <w:tcMar>
              <w:top w:w="80" w:type="dxa"/>
              <w:start w:w="120" w:type="dxa"/>
              <w:bottom w:w="80" w:type="dxa"/>
              <w:end w:w="120" w:type="dxa"/>
            </w:tcMar>
            <w:vAlign w:val="center"/>
          </w:tcPr>
          <w:p>
            <w:pPr>
              <w:spacing w:after="0" w:line="269" w:lineRule="auto"/>
            </w:pPr>
            <w:r>
              <w:rPr>
                <w:rFonts w:ascii="Calibri" w:hAnsi="Calibri"/>
                <w:b w:val="0"/>
                <w:color w:val="183E47"/>
                <w:sz w:val="18"/>
              </w:rPr>
              <w:t>Increment the consecutive-unusual count.</w:t>
            </w:r>
          </w:p>
        </w:tc>
      </w:tr>
      <w:tr>
        <w:trPr>
          <w:cantSplit/>
        </w:trPr>
        <w:tc>
          <w:tcPr>
            <w:tcW w:type="dxa" w:w="3100"/>
            <w:tcMar>
              <w:top w:w="80" w:type="dxa"/>
              <w:start w:w="120" w:type="dxa"/>
              <w:bottom w:w="80" w:type="dxa"/>
              <w:end w:w="120" w:type="dxa"/>
            </w:tcMar>
            <w:vAlign w:val="center"/>
          </w:tcPr>
          <w:p>
            <w:pPr>
              <w:spacing w:after="0" w:line="269" w:lineRule="auto"/>
            </w:pPr>
            <w:r>
              <w:rPr>
                <w:rFonts w:ascii="Calibri" w:hAnsi="Calibri"/>
                <w:b/>
                <w:color w:val="183E47"/>
                <w:sz w:val="18"/>
              </w:rPr>
              <w:t>Below 30 for 2 consecutive checkpoints</w:t>
            </w:r>
          </w:p>
        </w:tc>
        <w:tc>
          <w:tcPr>
            <w:tcW w:type="dxa" w:w="1700"/>
            <w:tcMar>
              <w:top w:w="80" w:type="dxa"/>
              <w:start w:w="120" w:type="dxa"/>
              <w:bottom w:w="80" w:type="dxa"/>
              <w:end w:w="120" w:type="dxa"/>
            </w:tcMar>
            <w:vAlign w:val="center"/>
          </w:tcPr>
          <w:p>
            <w:pPr>
              <w:spacing w:after="0" w:line="269" w:lineRule="auto"/>
            </w:pPr>
            <w:r>
              <w:rPr>
                <w:rFonts w:ascii="Calibri" w:hAnsi="Calibri"/>
                <w:b w:val="0"/>
                <w:color w:val="183E47"/>
                <w:sz w:val="18"/>
              </w:rPr>
              <w:t>alert</w:t>
            </w:r>
          </w:p>
        </w:tc>
        <w:tc>
          <w:tcPr>
            <w:tcW w:type="dxa" w:w="4560"/>
            <w:tcMar>
              <w:top w:w="80" w:type="dxa"/>
              <w:start w:w="120" w:type="dxa"/>
              <w:bottom w:w="80" w:type="dxa"/>
              <w:end w:w="120" w:type="dxa"/>
            </w:tcMar>
            <w:vAlign w:val="center"/>
          </w:tcPr>
          <w:p>
            <w:pPr>
              <w:spacing w:after="0" w:line="269" w:lineRule="auto"/>
            </w:pPr>
            <w:r>
              <w:rPr>
                <w:rFonts w:ascii="Calibri" w:hAnsi="Calibri"/>
                <w:b w:val="0"/>
                <w:color w:val="183E47"/>
                <w:sz w:val="18"/>
              </w:rPr>
              <w:t>Create one alert for the checkpoint; optionally call the configured webhook.</w:t>
            </w:r>
          </w:p>
        </w:tc>
      </w:tr>
    </w:tbl>
    <w:p>
      <w:pPr>
        <w:spacing w:after="40"/>
      </w:pPr>
    </w:p>
    <w:p>
      <w:r>
        <w:t>For explanation text, features with z at least 2 are ranked by z-score. Up to three are reported as “current value versus usual median”. If none reaches 2, the explanation states that activity is within the learned range.</w:t>
      </w:r>
    </w:p>
    <w:p>
      <w:pPr>
        <w:spacing w:before="100" w:after="180" w:line="283" w:lineRule="auto"/>
        <w:ind w:left="230" w:right="230"/>
        <w:shd w:fill="FFF4E2"/>
      </w:pPr>
      <w:r>
        <w:rPr>
          <w:rFonts w:ascii="Calibri" w:hAnsi="Calibri"/>
          <w:b/>
          <w:color w:val="8B5E26"/>
          <w:sz w:val="20"/>
        </w:rPr>
        <w:t xml:space="preserve">Alert interpretation  </w:t>
      </w:r>
      <w:r>
        <w:rPr>
          <w:rFonts w:ascii="Calibri" w:hAnsi="Calibri"/>
          <w:color w:val="8B5E26"/>
          <w:sz w:val="20"/>
        </w:rPr>
        <w:t>The default threshold and persistence rule reduce isolated noise, but an alert still means “sustained difference”, not “emergency”. Collector freshness must be checked before acting on a score.</w:t>
      </w:r>
    </w:p>
    <w:p>
      <w:pPr>
        <w:pStyle w:val="Heading1"/>
      </w:pPr>
      <w:r>
        <w:t>12. Activity visualisation</w:t>
      </w:r>
    </w:p>
    <w:p>
      <w:r>
        <w:t>The dashboard’s activity graph is descriptive and separate from the checkpoint normality calculation.</w:t>
      </w:r>
    </w:p>
    <w:p>
      <w:pPr>
        <w:pStyle w:val="ListBullet"/>
        <w:spacing w:after="80" w:line="300" w:lineRule="auto"/>
        <w:ind w:left="540" w:hanging="271"/>
      </w:pPr>
      <w:r>
        <w:t>Only movement-detected events are used; cleared movement states are absent.</w:t>
      </w:r>
    </w:p>
    <w:p>
      <w:pPr>
        <w:pStyle w:val="ListBullet"/>
        <w:spacing w:after="80" w:line="300" w:lineRule="auto"/>
        <w:ind w:left="540" w:hanging="271"/>
      </w:pPr>
      <w:r>
        <w:t>A value is calculated every 15 minutes as the number of detections in the preceding rolling 60 minutes.</w:t>
      </w:r>
    </w:p>
    <w:p>
      <w:pPr>
        <w:pStyle w:val="ListBullet"/>
        <w:spacing w:after="80" w:line="300" w:lineRule="auto"/>
        <w:ind w:left="540" w:hanging="271"/>
      </w:pPr>
      <w:r>
        <w:t>One stepped line shows all movement detections; additional lines show each movement sensor independently.</w:t>
      </w:r>
    </w:p>
    <w:p>
      <w:pPr>
        <w:pStyle w:val="ListBullet"/>
        <w:spacing w:after="80" w:line="300" w:lineRule="auto"/>
        <w:ind w:left="540" w:hanging="271"/>
      </w:pPr>
      <w:r>
        <w:t>The event timeline shows positive non-TV appliance readings as points and TV viewing periods as duration bars.</w:t>
      </w:r>
    </w:p>
    <w:p>
      <w:pPr>
        <w:pStyle w:val="ListBullet"/>
        <w:spacing w:after="80" w:line="300" w:lineRule="auto"/>
        <w:ind w:left="540" w:hanging="271"/>
      </w:pPr>
      <w:r>
        <w:t>Vertical grid lines are aligned to three-hour Home Assistant local times. The 48-hour view labels each three-hour division; longer views thin text labels until zoomed.</w:t>
      </w:r>
    </w:p>
    <w:p>
      <w:pPr>
        <w:pStyle w:val="ListBullet"/>
        <w:spacing w:after="80" w:line="300" w:lineRule="auto"/>
        <w:ind w:left="540" w:hanging="271"/>
      </w:pPr>
      <w:r>
        <w:t>Hovering displays timestamp and values. Dragging across a chart selects a narrower time range; Reset zoom restores the selected preset range.</w:t>
      </w:r>
    </w:p>
    <w:p>
      <w:pPr>
        <w:pStyle w:val="Heading1"/>
      </w:pPr>
      <w:r>
        <w:t>13. Data-quality and interpretation constraints</w:t>
      </w:r>
    </w:p>
    <w:p>
      <w:pPr>
        <w:pStyle w:val="ListBullet"/>
        <w:spacing w:after="80" w:line="300" w:lineRule="auto"/>
        <w:ind w:left="540" w:hanging="271"/>
      </w:pPr>
      <w:r>
        <w:t>The Home Assistant collector observes state changes and recorder history. Missing or unavailable entities produce missing evidence, not proof of inactivity.</w:t>
      </w:r>
    </w:p>
    <w:p>
      <w:pPr>
        <w:pStyle w:val="ListBullet"/>
        <w:spacing w:after="80" w:line="300" w:lineRule="auto"/>
        <w:ind w:left="540" w:hanging="271"/>
      </w:pPr>
      <w:r>
        <w:t>Positive power/current means are arithmetic means of emitted readings, not time-weighted energy consumption. TV uses explicit session duration to avoid this problem for the behaviour judged most significant.</w:t>
      </w:r>
    </w:p>
    <w:p>
      <w:pPr>
        <w:pStyle w:val="ListBullet"/>
        <w:spacing w:after="80" w:line="300" w:lineRule="auto"/>
        <w:ind w:left="540" w:hanging="271"/>
      </w:pPr>
      <w:r>
        <w:t>A TV period depends on receiving an eventual below-threshold reading. An open period is provisional and is clipped at the analysis end.</w:t>
      </w:r>
    </w:p>
    <w:p>
      <w:pPr>
        <w:pStyle w:val="ListBullet"/>
        <w:spacing w:after="80" w:line="300" w:lineRule="auto"/>
        <w:ind w:left="540" w:hanging="271"/>
      </w:pPr>
      <w:r>
        <w:t>Sensor replacement, changed room placement, visitors, travel, illness, holidays, or a changed routine can legitimately change normality.</w:t>
      </w:r>
    </w:p>
    <w:p>
      <w:pPr>
        <w:pStyle w:val="ListBullet"/>
        <w:spacing w:after="80" w:line="300" w:lineRule="auto"/>
        <w:ind w:left="540" w:hanging="271"/>
      </w:pPr>
      <w:r>
        <w:t>Backfilled history should be rebuilt after calculation-schema changes so old and new checkpoint vectors are fully comparable.</w:t>
      </w:r>
    </w:p>
    <w:p>
      <w:pPr>
        <w:pStyle w:val="Heading1"/>
      </w:pPr>
      <w:r>
        <w:t>14. Configuration constants</w:t>
      </w:r>
    </w:p>
    <w:tbl>
      <w:tblPr>
        <w:tblStyle w:val="TableGrid"/>
        <w:tblW w:type="dxa" w:w="9360"/>
        <w:jc w:val="left"/>
        <w:tblLayout w:type="fixed"/>
        <w:tblLook w:firstColumn="1" w:firstRow="1" w:lastColumn="0" w:lastRow="0" w:noHBand="0" w:noVBand="1" w:val="04A0"/>
        <w:tblInd w:w="120" w:type="dxa"/>
      </w:tblPr>
      <w:tblGrid>
        <w:gridCol w:w="2500"/>
        <w:gridCol w:w="2750"/>
        <w:gridCol w:w="4110"/>
      </w:tblGrid>
      <w:tr>
        <w:trPr>
          <w:tblHeader w:val="true"/>
          <w:cantSplit/>
        </w:trPr>
        <w:tc>
          <w:tcPr>
            <w:tcW w:type="dxa" w:w="2500"/>
            <w:shd w:fill="167A68"/>
            <w:tcMar>
              <w:top w:w="80" w:type="dxa"/>
              <w:start w:w="120" w:type="dxa"/>
              <w:bottom w:w="80" w:type="dxa"/>
              <w:end w:w="120" w:type="dxa"/>
            </w:tcMar>
            <w:vAlign w:val="center"/>
          </w:tcPr>
          <w:p>
            <w:pPr>
              <w:spacing w:after="0"/>
            </w:pPr>
            <w:r>
              <w:rPr>
                <w:rFonts w:ascii="Calibri" w:hAnsi="Calibri"/>
                <w:b/>
                <w:color w:val="FFFFFF"/>
                <w:sz w:val="18"/>
              </w:rPr>
              <w:t>Parameter</w:t>
            </w:r>
          </w:p>
        </w:tc>
        <w:tc>
          <w:tcPr>
            <w:tcW w:type="dxa" w:w="2750"/>
            <w:shd w:fill="167A68"/>
            <w:tcMar>
              <w:top w:w="80" w:type="dxa"/>
              <w:start w:w="120" w:type="dxa"/>
              <w:bottom w:w="80" w:type="dxa"/>
              <w:end w:w="120" w:type="dxa"/>
            </w:tcMar>
            <w:vAlign w:val="center"/>
          </w:tcPr>
          <w:p>
            <w:pPr>
              <w:spacing w:after="0"/>
            </w:pPr>
            <w:r>
              <w:rPr>
                <w:rFonts w:ascii="Calibri" w:hAnsi="Calibri"/>
                <w:b/>
                <w:color w:val="FFFFFF"/>
                <w:sz w:val="18"/>
              </w:rPr>
              <w:t>Current value</w:t>
            </w:r>
          </w:p>
        </w:tc>
        <w:tc>
          <w:tcPr>
            <w:tcW w:type="dxa" w:w="4110"/>
            <w:shd w:fill="167A68"/>
            <w:tcMar>
              <w:top w:w="80" w:type="dxa"/>
              <w:start w:w="120" w:type="dxa"/>
              <w:bottom w:w="80" w:type="dxa"/>
              <w:end w:w="120" w:type="dxa"/>
            </w:tcMar>
            <w:vAlign w:val="center"/>
          </w:tcPr>
          <w:p>
            <w:pPr>
              <w:spacing w:after="0"/>
            </w:pPr>
            <w:r>
              <w:rPr>
                <w:rFonts w:ascii="Calibri" w:hAnsi="Calibri"/>
                <w:b/>
                <w:color w:val="FFFFFF"/>
                <w:sz w:val="18"/>
              </w:rPr>
              <w:t>Purpose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Timezone</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Europe/London</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Align all checkpoints, axes, and artefact rules to HA local time.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Checkpoints</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03:00, 09:00, 21:00</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Report at stable parts of Judy’s day.</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Checkpoint period</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6 local hours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Summarise recent activity.</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Baseline history</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42 days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Retain recent comparable routine.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Minimum samples</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24 per checkpoint</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Prevent premature scoring.</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Alert threshold</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Normality below 30</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Identify a large combined departure.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Alert persistence</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2 consecutive checkpoints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Reduce one-off alerts.</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TV on threshold</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5 W</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Separate standby/off from active viewing.</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Minimum TV period</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5 minutes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Remove brief spikes.</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03:00 artefact</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Start 02:45–03:20; duration ≤45 min</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Remove the known TV meter artefact.</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Activity graph bucket</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15 minutes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Control visual resolution.</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b/>
                <w:color w:val="183E47"/>
                <w:sz w:val="17"/>
              </w:rPr>
              <w:t>Activity rolling window</w:t>
            </w:r>
          </w:p>
        </w:tc>
        <w:tc>
          <w:tcPr>
            <w:tcW w:type="dxa" w:w="2750"/>
            <w:tcMar>
              <w:top w:w="80" w:type="dxa"/>
              <w:start w:w="120" w:type="dxa"/>
              <w:bottom w:w="80" w:type="dxa"/>
              <w:end w:w="120" w:type="dxa"/>
            </w:tcMar>
            <w:vAlign w:val="center"/>
          </w:tcPr>
          <w:p>
            <w:pPr>
              <w:spacing w:after="0" w:line="269" w:lineRule="auto"/>
            </w:pPr>
            <w:r>
              <w:rPr>
                <w:rFonts w:ascii="Calibri" w:hAnsi="Calibri"/>
                <w:b w:val="0"/>
                <w:color w:val="183E47"/>
                <w:sz w:val="17"/>
              </w:rPr>
              <w:t>60 minutes</w:t>
            </w:r>
          </w:p>
        </w:tc>
        <w:tc>
          <w:tcPr>
            <w:tcW w:type="dxa" w:w="4110"/>
            <w:tcMar>
              <w:top w:w="80" w:type="dxa"/>
              <w:start w:w="120" w:type="dxa"/>
              <w:bottom w:w="80" w:type="dxa"/>
              <w:end w:w="120" w:type="dxa"/>
            </w:tcMar>
            <w:vAlign w:val="center"/>
          </w:tcPr>
          <w:p>
            <w:pPr>
              <w:spacing w:after="0" w:line="269" w:lineRule="auto"/>
            </w:pPr>
            <w:r>
              <w:rPr>
                <w:rFonts w:ascii="Calibri" w:hAnsi="Calibri"/>
                <w:b w:val="0"/>
                <w:color w:val="183E47"/>
                <w:sz w:val="17"/>
              </w:rPr>
              <w:t>Show recent movement intensity.</w:t>
            </w:r>
          </w:p>
        </w:tc>
      </w:tr>
    </w:tbl>
    <w:p>
      <w:pPr>
        <w:spacing w:after="40"/>
      </w:pPr>
    </w:p>
    <w:p>
      <w:pPr>
        <w:pStyle w:val="Heading1"/>
      </w:pPr>
      <w:r>
        <w:t>15. Acceptance checks</w:t>
      </w:r>
    </w:p>
    <w:p>
      <w:pPr>
        <w:pStyle w:val="ListBullet"/>
        <w:spacing w:after="80" w:line="300" w:lineRule="auto"/>
        <w:ind w:left="540" w:hanging="271"/>
      </w:pPr>
      <w:r>
        <w:t>No movement-cleared or zero-power record appears as a significant event.</w:t>
      </w:r>
    </w:p>
    <w:p>
      <w:pPr>
        <w:pStyle w:val="ListBullet"/>
        <w:spacing w:after="80" w:line="300" w:lineRule="auto"/>
        <w:ind w:left="540" w:hanging="271"/>
      </w:pPr>
      <w:r>
        <w:t>A genuine TV-on/off sequence produces one period with the expected duration and peak power.</w:t>
      </w:r>
    </w:p>
    <w:p>
      <w:pPr>
        <w:pStyle w:val="ListBullet"/>
        <w:spacing w:after="80" w:line="300" w:lineRule="auto"/>
        <w:ind w:left="540" w:hanging="271"/>
      </w:pPr>
      <w:r>
        <w:t>A short TV spike beginning around 03:00 produces no TV period and contributes no TV minutes.</w:t>
      </w:r>
    </w:p>
    <w:p>
      <w:pPr>
        <w:pStyle w:val="ListBullet"/>
        <w:spacing w:after="80" w:line="300" w:lineRule="auto"/>
        <w:ind w:left="540" w:hanging="271"/>
      </w:pPr>
      <w:r>
        <w:t>Exactly one checkpoint is eligible at each configured reporting time, using the correct Europe/London bounds including daylight-saving transitions.</w:t>
      </w:r>
    </w:p>
    <w:p>
      <w:pPr>
        <w:pStyle w:val="ListBullet"/>
        <w:spacing w:after="80" w:line="300" w:lineRule="auto"/>
        <w:ind w:left="540" w:hanging="271"/>
      </w:pPr>
      <w:r>
        <w:t>A checkpoint stays in learning until the minimum number of matching checkpoint samples exists.</w:t>
      </w:r>
    </w:p>
    <w:p>
      <w:pPr>
        <w:pStyle w:val="ListBullet"/>
        <w:spacing w:after="80" w:line="300" w:lineRule="auto"/>
        <w:ind w:left="540" w:hanging="271"/>
      </w:pPr>
      <w:r>
        <w:t>The score matches the formula and configured weights, and an alert requires the configured consecutive low scores.</w:t>
      </w:r>
    </w:p>
    <w:p>
      <w:pPr>
        <w:pStyle w:val="ListBullet"/>
        <w:spacing w:after="80" w:line="300" w:lineRule="auto"/>
        <w:ind w:left="540" w:hanging="271"/>
      </w:pPr>
      <w:r>
        <w:t>Hover, drag-to-zoom, reset, and three-hour local-time grids work on desktop; charts remain contained on mobile.</w:t>
      </w:r>
    </w:p>
    <w:p>
      <w:pPr>
        <w:spacing w:before="140" w:after="0" w:line="259" w:lineRule="auto"/>
      </w:pPr>
      <w:r>
        <w:rPr>
          <w:rFonts w:ascii="Calibri" w:hAnsi="Calibri"/>
          <w:b/>
          <w:color w:val="167A68"/>
          <w:sz w:val="17"/>
        </w:rPr>
        <w:t xml:space="preserve">Implementation references: </w:t>
      </w:r>
      <w:r>
        <w:rPr>
          <w:rFonts w:ascii="Calibri" w:hAnsi="Calibri"/>
          <w:color w:val="536560"/>
          <w:sz w:val="17"/>
        </w:rPr>
        <w:t>activity.ts (sensor and TV rules); checkpoints.ts (local time); normality.ts (score); soter.ts (classification); index.ts (aggregation, alerts, APIs); main.tsx (charts and zoom).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7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71807B"/>
        <w:sz w:val="17"/>
      </w:rPr>
      <w:t>SOTER ACTIVITY INTELLIGENCE  /  CALCULATION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3E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67A6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67A6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83E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and Normality Calculation Specification</dc:title>
  <dc:subject>Soter household activity monitoring calculation rules</dc:subject>
  <dc:creator>Soter</dc:creator>
  <cp:keywords>Soter, Home Assistant, activity, normality, TV sessions, movement</cp:keywords>
  <dc:description>generated by python-docx</dc:description>
  <cp:lastModifiedBy/>
  <cp:revision>1</cp:revision>
  <dcterms:created xsi:type="dcterms:W3CDTF">2013-12-23T23:15:00Z</dcterms:created>
  <dcterms:modified xsi:type="dcterms:W3CDTF">2013-12-23T23:15:00Z</dcterms:modified>
  <cp:category/>
</cp:coreProperties>
</file>