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1"/>
        <w:spacing w:line="400" w:lineRule="exact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(</w:t>
      </w:r>
      <w:r>
        <w:rPr>
          <w:rFonts w:eastAsia="標楷體-繁" w:hint="eastAsia"/>
          <w:sz w:val="36"/>
          <w:szCs w:val="36"/>
          <w:rtl w:val="0"/>
          <w:lang w:val="zh-TW" w:eastAsia="zh-TW"/>
        </w:rPr>
        <w:t>附件一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)</w:t>
      </w:r>
    </w:p>
    <w:p>
      <w:pPr>
        <w:pStyle w:val="內文1"/>
        <w:spacing w:line="400" w:lineRule="exact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eastAsia="標楷體-繁" w:hint="eastAsia"/>
          <w:sz w:val="36"/>
          <w:szCs w:val="36"/>
          <w:rtl w:val="0"/>
          <w:lang w:val="zh-TW" w:eastAsia="zh-TW"/>
        </w:rPr>
        <w:t>國際扶輪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3523</w:t>
      </w:r>
      <w:r>
        <w:rPr>
          <w:rFonts w:eastAsia="標楷體-繁" w:hint="eastAsia"/>
          <w:sz w:val="36"/>
          <w:szCs w:val="36"/>
          <w:rtl w:val="0"/>
          <w:lang w:val="zh-TW" w:eastAsia="zh-TW"/>
        </w:rPr>
        <w:t>地區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2026-27</w:t>
      </w:r>
      <w:r>
        <w:rPr>
          <w:rFonts w:eastAsia="標楷體-繁" w:hint="eastAsia"/>
          <w:sz w:val="36"/>
          <w:szCs w:val="36"/>
          <w:rtl w:val="0"/>
          <w:lang w:val="zh-TW" w:eastAsia="zh-TW"/>
        </w:rPr>
        <w:t>年度地區保齡球聯誼賽</w:t>
      </w:r>
    </w:p>
    <w:p>
      <w:pPr>
        <w:pStyle w:val="內文1"/>
        <w:spacing w:before="72" w:after="72" w:line="400" w:lineRule="exact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double"/>
          <w:lang w:val="zh-TW" w:eastAsia="zh-TW"/>
        </w:rPr>
      </w:pPr>
      <w:r>
        <w:rPr>
          <w:rFonts w:eastAsia="標楷體-繁" w:hint="eastAsia"/>
          <w:sz w:val="36"/>
          <w:szCs w:val="36"/>
          <w:u w:val="double"/>
          <w:rtl w:val="0"/>
          <w:lang w:val="zh-TW" w:eastAsia="zh-TW"/>
        </w:rPr>
        <w:t>比賽辦法及獎項</w:t>
      </w:r>
    </w:p>
    <w:p>
      <w:pPr>
        <w:pStyle w:val="內文 A"/>
        <w:widowControl w:val="1"/>
        <w:numPr>
          <w:ilvl w:val="0"/>
          <w:numId w:val="2"/>
        </w:numPr>
        <w:bidi w:val="0"/>
        <w:spacing w:line="360" w:lineRule="exact"/>
        <w:ind w:right="46"/>
        <w:jc w:val="left"/>
        <w:rPr>
          <w:rtl w:val="0"/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主辦單位：國際扶輪</w:t>
      </w:r>
      <w:r>
        <w:rPr>
          <w:rFonts w:ascii="Times New Roman" w:hAnsi="Times New Roman"/>
          <w:rtl w:val="0"/>
          <w:lang w:val="en-US"/>
        </w:rPr>
        <w:t>3523</w:t>
      </w:r>
      <w:r>
        <w:rPr>
          <w:rFonts w:eastAsia="標楷體-繁" w:hint="eastAsia"/>
          <w:rtl w:val="0"/>
          <w:lang w:val="zh-TW" w:eastAsia="zh-TW"/>
        </w:rPr>
        <w:t>地區</w:t>
      </w:r>
    </w:p>
    <w:p>
      <w:pPr>
        <w:pStyle w:val="內文 A"/>
        <w:widowControl w:val="1"/>
        <w:numPr>
          <w:ilvl w:val="0"/>
          <w:numId w:val="2"/>
        </w:numPr>
        <w:bidi w:val="0"/>
        <w:spacing w:line="360" w:lineRule="exact"/>
        <w:ind w:right="46"/>
        <w:jc w:val="left"/>
        <w:rPr>
          <w:rtl w:val="0"/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主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辦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社：台北市松山扶輪社</w:t>
      </w:r>
    </w:p>
    <w:p>
      <w:pPr>
        <w:pStyle w:val="內文 A"/>
        <w:widowControl w:val="1"/>
        <w:numPr>
          <w:ilvl w:val="0"/>
          <w:numId w:val="2"/>
        </w:numPr>
        <w:bidi w:val="0"/>
        <w:spacing w:line="360" w:lineRule="exact"/>
        <w:ind w:right="46"/>
        <w:jc w:val="left"/>
        <w:rPr>
          <w:rtl w:val="0"/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協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辦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社：歡迎熱烈擔任協辦社</w:t>
      </w:r>
    </w:p>
    <w:p>
      <w:pPr>
        <w:pStyle w:val="內文 A"/>
        <w:widowControl w:val="1"/>
        <w:numPr>
          <w:ilvl w:val="0"/>
          <w:numId w:val="2"/>
        </w:numPr>
        <w:bidi w:val="0"/>
        <w:spacing w:line="360" w:lineRule="exact"/>
        <w:ind w:right="46"/>
        <w:jc w:val="left"/>
        <w:rPr>
          <w:rtl w:val="0"/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贊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助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eastAsia="標楷體-繁" w:hint="eastAsia"/>
          <w:rtl w:val="0"/>
          <w:lang w:val="zh-TW" w:eastAsia="zh-TW"/>
        </w:rPr>
        <w:t>社：歡迎熱烈擔任贊助社</w:t>
      </w:r>
    </w:p>
    <w:p>
      <w:pPr>
        <w:pStyle w:val="內文 A"/>
        <w:widowControl w:val="1"/>
        <w:numPr>
          <w:ilvl w:val="0"/>
          <w:numId w:val="2"/>
        </w:numPr>
        <w:bidi w:val="0"/>
        <w:spacing w:line="360" w:lineRule="exact"/>
        <w:ind w:right="46"/>
        <w:jc w:val="left"/>
        <w:rPr>
          <w:rtl w:val="0"/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比賽辦法：</w:t>
      </w:r>
    </w:p>
    <w:tbl>
      <w:tblPr>
        <w:tblW w:w="102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11"/>
        <w:gridCol w:w="8941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賽 制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採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局總分制。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參加資格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扶輪社員、寶尊眷、社員子女。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個人賽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※</w:t>
            </w:r>
            <w:r>
              <w:rPr>
                <w:rFonts w:eastAsia="標楷體-繁" w:hint="eastAsia"/>
                <w:b w:val="0"/>
                <w:b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男子組；女子組各前三名。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b w:val="0"/>
                <w:b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>含社員、寶尊眷及子女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個人組</w:t>
            </w:r>
          </w:p>
          <w:p>
            <w:pPr>
              <w:pStyle w:val="內文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獎 項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※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男子組、女子組前三名：第一名：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元；第二名：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元；第三名：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</w:tc>
      </w:tr>
      <w:tr>
        <w:tblPrEx>
          <w:shd w:val="clear" w:color="auto" w:fill="ced7e7"/>
        </w:tblPrEx>
        <w:trPr>
          <w:trHeight w:val="1087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團體賽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clear" w:color="auto" w:fill="ffff0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以分區為單位，各分區由個人賽中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加分後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成績最優前七名，加總計算排名。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限社員、寶尊眷及子女，</w:t>
            </w:r>
            <w:r>
              <w:rPr>
                <w:rFonts w:eastAsia="標楷體-繁" w:hint="eastAsia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zh-TW" w:eastAsia="zh-TW"/>
                <w14:textFill>
                  <w14:solidFill>
                    <w14:srgbClr w14:val="FF0000"/>
                  </w14:solidFill>
                </w14:textFill>
              </w:rPr>
              <w:t>並至少一名女社員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計入成績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女子加分：不分年齡，每局加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分。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團體組</w:t>
            </w:r>
          </w:p>
          <w:p>
            <w:pPr>
              <w:pStyle w:val="內文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獎 項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以分區成績三名：第一名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元；第二名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元；第三名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</w:tc>
      </w:tr>
      <w:tr>
        <w:tblPrEx>
          <w:shd w:val="clear" w:color="auto" w:fill="ced7e7"/>
        </w:tblPrEx>
        <w:trPr>
          <w:trHeight w:val="2391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競賽</w:t>
            </w:r>
          </w:p>
          <w:p>
            <w:pPr>
              <w:pStyle w:val="內文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規則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請於比賽規定時間，半小時前完成報到手續。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請依報名表人員參賽，不得頂替代打，若經查獲者，取消該員資格並不予計分。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參賽人員請於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分鐘前就定位，若場次有異動時，以大會競賽組公告為準。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為節省時間，不採用交換道，按照銀幕上之箭頭指示打球，不開越線燈。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遲到參賽者，不予計分。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6.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申訴：比賽進行中發生爭議時，由大會裁判長裁定之。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單局</w:t>
            </w:r>
          </w:p>
          <w:p>
            <w:pPr>
              <w:pStyle w:val="內文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最高分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男子組：每局各取單局最高分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含加分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：獎金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共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，共計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女子組：每局各取單局最高分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含加分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：獎金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共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，共計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</w:tc>
      </w:tr>
      <w:tr>
        <w:tblPrEx>
          <w:shd w:val="clear" w:color="auto" w:fill="ced7e7"/>
        </w:tblPrEx>
        <w:trPr>
          <w:trHeight w:val="1122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特別獎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火雞獎：連續三次全倒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個人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次為限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。獎金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霸王花獎：第一球擊出剩餘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5+7+10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號瓶。獎金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單局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不含加分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：獎金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30,000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元。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摸彩獎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摸彩獎：現金及豐富獎品</w:t>
            </w:r>
          </w:p>
        </w:tc>
      </w:tr>
      <w:tr>
        <w:tblPrEx>
          <w:shd w:val="clear" w:color="auto" w:fill="ced7e7"/>
        </w:tblPrEx>
        <w:trPr>
          <w:trHeight w:val="97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其他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numPr>
                <w:ilvl w:val="0"/>
                <w:numId w:val="4"/>
              </w:numPr>
              <w:jc w:val="both"/>
              <w:rPr>
                <w:rFonts w:eastAsia="Times New Roman" w:hint="eastAsia"/>
                <w:sz w:val="24"/>
                <w:szCs w:val="24"/>
                <w:lang w:val="zh-TW" w:eastAsia="zh-TW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參加獎於現場發放，已報名而未出席者，一律不退報名費，不補發參加獎。</w:t>
            </w:r>
          </w:p>
          <w:p>
            <w:pPr>
              <w:pStyle w:val="內文1"/>
              <w:numPr>
                <w:ilvl w:val="0"/>
                <w:numId w:val="4"/>
              </w:numPr>
              <w:bidi w:val="0"/>
              <w:ind w:right="0"/>
              <w:jc w:val="both"/>
              <w:rPr>
                <w:rFonts w:eastAsia="Times New Roman" w:hint="eastAsia"/>
                <w:b w:val="1"/>
                <w:bCs w:val="1"/>
                <w:sz w:val="24"/>
                <w:szCs w:val="24"/>
                <w:u w:val="double"/>
                <w:rtl w:val="0"/>
                <w:lang w:val="zh-TW" w:eastAsia="zh-TW"/>
              </w:rPr>
            </w:pPr>
            <w:r>
              <w:rPr>
                <w:rFonts w:eastAsia="標楷體-繁" w:hint="eastAsia"/>
                <w:b w:val="0"/>
                <w:bCs w:val="0"/>
                <w:sz w:val="24"/>
                <w:szCs w:val="24"/>
                <w:u w:val="double"/>
                <w:shd w:val="nil" w:color="auto" w:fill="auto"/>
                <w:rtl w:val="0"/>
                <w:lang w:val="zh-TW" w:eastAsia="zh-TW"/>
              </w:rPr>
              <w:t>參賽獎於比賽後，憑參賽選手背貼至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val="double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標楷體-繁" w:hint="eastAsia"/>
                <w:b w:val="0"/>
                <w:bCs w:val="0"/>
                <w:sz w:val="24"/>
                <w:szCs w:val="24"/>
                <w:u w:val="double"/>
                <w:shd w:val="nil" w:color="auto" w:fill="auto"/>
                <w:rtl w:val="0"/>
                <w:lang w:val="zh-TW" w:eastAsia="zh-TW"/>
              </w:rPr>
              <w:t>樓狀元樓簽到領取。</w:t>
            </w:r>
          </w:p>
          <w:p>
            <w:pPr>
              <w:pStyle w:val="內文1"/>
              <w:numPr>
                <w:ilvl w:val="0"/>
                <w:numId w:val="4"/>
              </w:numPr>
              <w:bidi w:val="0"/>
              <w:ind w:right="0"/>
              <w:jc w:val="both"/>
              <w:rPr>
                <w:rFonts w:eastAsia="Times New Roman" w:hint="eastAsia"/>
                <w:sz w:val="24"/>
                <w:szCs w:val="24"/>
                <w:rtl w:val="0"/>
                <w:lang w:val="zh-TW" w:eastAsia="zh-TW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本規則如有未盡事宜，得由大會隨時修訂公佈之。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頒獎</w:t>
            </w:r>
          </w:p>
          <w:p>
            <w:pPr>
              <w:pStyle w:val="內文1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餐敘</w:t>
            </w:r>
          </w:p>
        </w:tc>
        <w:tc>
          <w:tcPr>
            <w:tcW w:type="dxa" w:w="8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時間：當天中午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12:00</w:t>
            </w:r>
          </w:p>
          <w:p>
            <w:pPr>
              <w:pStyle w:val="內文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地點：新喬福保齡球館三樓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狀元樓晶豪宴會館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午宴、頒獎、摸彩。</w:t>
            </w:r>
          </w:p>
        </w:tc>
      </w:tr>
    </w:tbl>
    <w:p>
      <w:pPr>
        <w:pStyle w:val="內文 A"/>
        <w:numPr>
          <w:ilvl w:val="0"/>
          <w:numId w:val="3"/>
        </w:numPr>
        <w:jc w:val="center"/>
        <w:rPr>
          <w:lang w:val="zh-TW" w:eastAsia="zh-TW"/>
        </w:rPr>
      </w:pPr>
    </w:p>
    <w:p>
      <w:pPr>
        <w:pStyle w:val="內文 A"/>
        <w:spacing w:before="180" w:after="180" w:line="500" w:lineRule="exact"/>
        <w:rPr>
          <w:b w:val="1"/>
          <w:bCs w:val="1"/>
          <w:outline w:val="0"/>
          <w:color w:val="000000"/>
          <w:sz w:val="44"/>
          <w:szCs w:val="44"/>
          <w:u w:val="double"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before="180" w:after="180" w:line="500" w:lineRule="exact"/>
        <w:jc w:val="center"/>
        <w:rPr>
          <w:b w:val="1"/>
          <w:bCs w:val="1"/>
          <w:outline w:val="0"/>
          <w:color w:val="000000"/>
          <w:sz w:val="44"/>
          <w:szCs w:val="44"/>
          <w:u w:val="double"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eastAsia="標楷體-繁" w:hint="eastAsia"/>
          <w:outline w:val="0"/>
          <w:color w:val="000000"/>
          <w:sz w:val="44"/>
          <w:szCs w:val="44"/>
          <w:u w:val="double"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新喬福保齡球館位置圖</w:t>
      </w:r>
    </w:p>
    <w:p>
      <w:pPr>
        <w:pStyle w:val="內文 A"/>
        <w:spacing w:line="500" w:lineRule="exact"/>
        <w:ind w:left="838" w:firstLine="84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1074419</wp:posOffset>
            </wp:positionH>
            <wp:positionV relativeFrom="line">
              <wp:posOffset>18415</wp:posOffset>
            </wp:positionV>
            <wp:extent cx="4800600" cy="3432175"/>
            <wp:effectExtent l="0" t="0" r="0" b="0"/>
            <wp:wrapNone/>
            <wp:docPr id="1073741825" name="officeArt object" descr="晶豪樓地圖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晶豪樓地圖.jpeg" descr="晶豪樓地圖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32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ind w:left="838" w:firstLine="1820"/>
        <w:rPr>
          <w:outline w:val="0"/>
          <w:color w:val="000000"/>
          <w:sz w:val="52"/>
          <w:szCs w:val="5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內文 A"/>
        <w:spacing w:line="500" w:lineRule="exact"/>
        <w:jc w:val="center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標楷體-繁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新北市中和區錦和路</w:t>
      </w:r>
      <w:r>
        <w:rPr>
          <w:rFonts w:ascii="Times New Roman" w:hAnsi="Times New Roman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388</w:t>
      </w:r>
      <w:r>
        <w:rPr>
          <w:rFonts w:eastAsia="標楷體-繁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號</w:t>
      </w:r>
      <w:r>
        <w:rPr>
          <w:rFonts w:ascii="Times New Roman" w:hAnsi="Times New Roman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eastAsia="標楷體-繁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樓</w:t>
      </w:r>
      <w:r>
        <w:rPr>
          <w:rFonts w:ascii="Times New Roman" w:hAnsi="Times New Roman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TEL</w:t>
      </w:r>
      <w:r>
        <w:rPr>
          <w:rFonts w:eastAsia="標楷體-繁" w:hint="eastAsia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：</w:t>
      </w:r>
      <w:r>
        <w:rPr>
          <w:rFonts w:ascii="Times New Roman" w:hAnsi="Times New Roman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(02)2246-9988</w:t>
      </w:r>
    </w:p>
    <w:p>
      <w:pPr>
        <w:pStyle w:val="內文 A"/>
        <w:spacing w:line="500" w:lineRule="exact"/>
        <w:jc w:val="center"/>
        <w:rPr>
          <w:b w:val="1"/>
          <w:bCs w:val="1"/>
          <w:outline w:val="0"/>
          <w:color w:val="c00000"/>
          <w:sz w:val="22"/>
          <w:szCs w:val="22"/>
          <w:u w:color="c00000"/>
          <w14:textFill>
            <w14:solidFill>
              <w14:srgbClr w14:val="C00000"/>
            </w14:solidFill>
          </w14:textFill>
        </w:rPr>
      </w:pPr>
      <w:r>
        <w:rPr>
          <w:rFonts w:eastAsia="標楷體-繁" w:hint="eastAsia"/>
          <w:outline w:val="0"/>
          <w:color w:val="c00000"/>
          <w:u w:color="c00000"/>
          <w:rtl w:val="0"/>
          <w:lang w:val="zh-TW" w:eastAsia="zh-TW"/>
          <w14:textFill>
            <w14:solidFill>
              <w14:srgbClr w14:val="C00000"/>
            </w14:solidFill>
          </w14:textFill>
        </w:rPr>
        <w:t>球場停車位有限，停車收費每小時</w:t>
      </w:r>
      <w:r>
        <w:rPr>
          <w:rFonts w:ascii="Times New Roman" w:hAnsi="Times New Roman"/>
          <w:b w:val="1"/>
          <w:bCs w:val="1"/>
          <w:outline w:val="0"/>
          <w:color w:val="c0000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30</w:t>
      </w:r>
      <w:r>
        <w:rPr>
          <w:rFonts w:eastAsia="標楷體-繁" w:hint="eastAsia"/>
          <w:outline w:val="0"/>
          <w:color w:val="c00000"/>
          <w:u w:color="c00000"/>
          <w:rtl w:val="0"/>
          <w:lang w:val="zh-TW" w:eastAsia="zh-TW"/>
          <w14:textFill>
            <w14:solidFill>
              <w14:srgbClr w14:val="C00000"/>
            </w14:solidFill>
          </w14:textFill>
        </w:rPr>
        <w:t>元，但因停車位有限，敬請共乘前往。</w:t>
      </w:r>
    </w:p>
    <w:p>
      <w:pPr>
        <w:pStyle w:val="內文 A"/>
        <w:rPr>
          <w:b w:val="1"/>
          <w:bCs w:val="1"/>
          <w:sz w:val="28"/>
          <w:szCs w:val="28"/>
        </w:rPr>
      </w:pPr>
    </w:p>
    <w:p>
      <w:pPr>
        <w:pStyle w:val="內文 A"/>
        <w:rPr>
          <w:b w:val="1"/>
          <w:bCs w:val="1"/>
          <w:sz w:val="28"/>
          <w:szCs w:val="28"/>
          <w:lang w:val="zh-TW" w:eastAsia="zh-TW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交通資訊</w:t>
      </w:r>
    </w:p>
    <w:p>
      <w:pPr>
        <w:pStyle w:val="內文 A"/>
        <w:rPr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【大眾運輸】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1. </w:t>
      </w:r>
      <w:r>
        <w:rPr>
          <w:rFonts w:eastAsia="標楷體-繁" w:hint="eastAsia"/>
          <w:rtl w:val="0"/>
          <w:lang w:val="zh-TW" w:eastAsia="zh-TW"/>
        </w:rPr>
        <w:t>捷運中和新蘆線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南勢角站，轉乘台北客運</w:t>
      </w:r>
      <w:r>
        <w:rPr>
          <w:rFonts w:ascii="Times New Roman" w:hAnsi="Times New Roman"/>
          <w:rtl w:val="0"/>
          <w:lang w:val="en-US"/>
        </w:rPr>
        <w:t>241</w:t>
      </w:r>
      <w:r>
        <w:rPr>
          <w:rFonts w:eastAsia="標楷體-繁" w:hint="eastAsia"/>
          <w:rtl w:val="0"/>
          <w:lang w:val="zh-TW" w:eastAsia="zh-TW"/>
        </w:rPr>
        <w:t>或</w:t>
      </w:r>
      <w:r>
        <w:rPr>
          <w:rFonts w:ascii="Times New Roman" w:hAnsi="Times New Roman"/>
          <w:rtl w:val="0"/>
          <w:lang w:val="en-US"/>
        </w:rPr>
        <w:t>243</w:t>
      </w:r>
      <w:r>
        <w:rPr>
          <w:rFonts w:eastAsia="標楷體-繁" w:hint="eastAsia"/>
          <w:rtl w:val="0"/>
          <w:lang w:val="zh-TW" w:eastAsia="zh-TW"/>
        </w:rPr>
        <w:t>，於「中和站</w:t>
      </w:r>
      <w:r>
        <w:rPr>
          <w:rFonts w:ascii="Times New Roman" w:hAnsi="Times New Roman"/>
          <w:rtl w:val="0"/>
          <w:lang w:val="en-US"/>
        </w:rPr>
        <w:t>(</w:t>
      </w:r>
      <w:r>
        <w:rPr>
          <w:rFonts w:eastAsia="標楷體-繁" w:hint="eastAsia"/>
          <w:rtl w:val="0"/>
          <w:lang w:val="zh-TW" w:eastAsia="zh-TW"/>
        </w:rPr>
        <w:t>總站</w:t>
      </w:r>
      <w:r>
        <w:rPr>
          <w:rFonts w:ascii="Times New Roman" w:hAnsi="Times New Roman"/>
          <w:rtl w:val="0"/>
          <w:lang w:val="en-US"/>
        </w:rPr>
        <w:t>)</w:t>
      </w:r>
      <w:r>
        <w:rPr>
          <w:rFonts w:eastAsia="標楷體-繁" w:hint="eastAsia"/>
          <w:rtl w:val="0"/>
          <w:lang w:val="zh-TW" w:eastAsia="zh-TW"/>
        </w:rPr>
        <w:t>」下車。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2. </w:t>
      </w:r>
      <w:r>
        <w:rPr>
          <w:rFonts w:eastAsia="標楷體-繁" w:hint="eastAsia"/>
          <w:rtl w:val="0"/>
          <w:lang w:val="zh-TW" w:eastAsia="zh-TW"/>
        </w:rPr>
        <w:t>捷運中和新蘆線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景安站，轉乘台北客運</w:t>
      </w:r>
      <w:r>
        <w:rPr>
          <w:rFonts w:ascii="Times New Roman" w:hAnsi="Times New Roman"/>
          <w:rtl w:val="0"/>
          <w:lang w:val="en-US"/>
        </w:rPr>
        <w:t>241</w:t>
      </w:r>
      <w:r>
        <w:rPr>
          <w:rFonts w:eastAsia="標楷體-繁" w:hint="eastAsia"/>
          <w:rtl w:val="0"/>
          <w:lang w:val="zh-TW" w:eastAsia="zh-TW"/>
        </w:rPr>
        <w:t>、</w:t>
      </w:r>
      <w:r>
        <w:rPr>
          <w:rFonts w:ascii="Times New Roman" w:hAnsi="Times New Roman"/>
          <w:rtl w:val="0"/>
          <w:lang w:val="en-US"/>
        </w:rPr>
        <w:t>242</w:t>
      </w:r>
      <w:r>
        <w:rPr>
          <w:rFonts w:eastAsia="標楷體-繁" w:hint="eastAsia"/>
          <w:rtl w:val="0"/>
          <w:lang w:val="zh-TW" w:eastAsia="zh-TW"/>
        </w:rPr>
        <w:t>、</w:t>
      </w:r>
      <w:r>
        <w:rPr>
          <w:rFonts w:ascii="Times New Roman" w:hAnsi="Times New Roman"/>
          <w:rtl w:val="0"/>
          <w:lang w:val="en-US"/>
        </w:rPr>
        <w:t>244</w:t>
      </w:r>
      <w:r>
        <w:rPr>
          <w:rFonts w:eastAsia="標楷體-繁" w:hint="eastAsia"/>
          <w:rtl w:val="0"/>
          <w:lang w:val="zh-TW" w:eastAsia="zh-TW"/>
        </w:rPr>
        <w:t>、橘</w:t>
      </w:r>
      <w:r>
        <w:rPr>
          <w:rFonts w:ascii="Times New Roman" w:hAnsi="Times New Roman"/>
          <w:rtl w:val="0"/>
          <w:lang w:val="en-US"/>
        </w:rPr>
        <w:t>2</w:t>
      </w:r>
      <w:r>
        <w:rPr>
          <w:rFonts w:eastAsia="標楷體-繁" w:hint="eastAsia"/>
          <w:rtl w:val="0"/>
          <w:lang w:val="zh-TW" w:eastAsia="zh-TW"/>
        </w:rPr>
        <w:t>，於「中和站</w:t>
      </w:r>
      <w:r>
        <w:rPr>
          <w:rFonts w:ascii="Times New Roman" w:hAnsi="Times New Roman"/>
          <w:rtl w:val="0"/>
          <w:lang w:val="en-US"/>
        </w:rPr>
        <w:t>(</w:t>
      </w:r>
      <w:r>
        <w:rPr>
          <w:rFonts w:eastAsia="標楷體-繁" w:hint="eastAsia"/>
          <w:rtl w:val="0"/>
          <w:lang w:val="zh-TW" w:eastAsia="zh-TW"/>
        </w:rPr>
        <w:t>總站</w:t>
      </w:r>
      <w:r>
        <w:rPr>
          <w:rFonts w:ascii="Times New Roman" w:hAnsi="Times New Roman"/>
          <w:rtl w:val="0"/>
          <w:lang w:val="en-US"/>
        </w:rPr>
        <w:t>)</w:t>
      </w:r>
      <w:r>
        <w:rPr>
          <w:rFonts w:eastAsia="標楷體-繁" w:hint="eastAsia"/>
          <w:rtl w:val="0"/>
          <w:lang w:val="zh-TW" w:eastAsia="zh-TW"/>
        </w:rPr>
        <w:t>」下車。</w:t>
      </w:r>
    </w:p>
    <w:p>
      <w:pPr>
        <w:pStyle w:val="內文 A"/>
        <w:ind w:left="142" w:firstLine="0"/>
      </w:pPr>
    </w:p>
    <w:p>
      <w:pPr>
        <w:pStyle w:val="內文 A"/>
        <w:rPr>
          <w:lang w:val="zh-TW" w:eastAsia="zh-TW"/>
        </w:rPr>
      </w:pPr>
      <w:r>
        <w:rPr>
          <w:rFonts w:eastAsia="標楷體-繁" w:hint="eastAsia"/>
          <w:rtl w:val="0"/>
          <w:lang w:val="zh-TW" w:eastAsia="zh-TW"/>
        </w:rPr>
        <w:t>【自行開車】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1. </w:t>
      </w:r>
      <w:r>
        <w:rPr>
          <w:rFonts w:eastAsia="標楷體-繁" w:hint="eastAsia"/>
          <w:rtl w:val="0"/>
          <w:lang w:val="zh-TW" w:eastAsia="zh-TW"/>
        </w:rPr>
        <w:t>北二高：北二高中和交流道下右轉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直走中正路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錦和路右轉。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2. </w:t>
      </w:r>
      <w:r>
        <w:rPr>
          <w:rFonts w:eastAsia="標楷體-繁" w:hint="eastAsia"/>
          <w:rtl w:val="0"/>
          <w:lang w:val="zh-TW" w:eastAsia="zh-TW"/>
        </w:rPr>
        <w:t>大漢橋：大漢橋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中正路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經過北二高中和交流道下右轉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錦和路右轉。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3. </w:t>
      </w:r>
      <w:r>
        <w:rPr>
          <w:rFonts w:eastAsia="標楷體-繁" w:hint="eastAsia"/>
          <w:rtl w:val="0"/>
          <w:lang w:val="zh-TW" w:eastAsia="zh-TW"/>
        </w:rPr>
        <w:t>秀朗橋：秀朗橋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直走景平路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直走景平路接中正路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錦和路左轉。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4. </w:t>
      </w:r>
      <w:r>
        <w:rPr>
          <w:rFonts w:eastAsia="標楷體-繁" w:hint="eastAsia"/>
          <w:rtl w:val="0"/>
          <w:lang w:val="zh-TW" w:eastAsia="zh-TW"/>
        </w:rPr>
        <w:t>中正橋：中正橋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直走永和路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景平路右轉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直走景平路接中正路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錦和路左轉。</w:t>
      </w:r>
    </w:p>
    <w:p>
      <w:pPr>
        <w:pStyle w:val="內文 A"/>
        <w:ind w:left="142" w:firstLine="0"/>
      </w:pPr>
      <w:r>
        <w:rPr>
          <w:rFonts w:ascii="Times New Roman" w:hAnsi="Times New Roman"/>
          <w:rtl w:val="0"/>
          <w:lang w:val="en-US"/>
        </w:rPr>
        <w:t xml:space="preserve">5. </w:t>
      </w:r>
      <w:r>
        <w:rPr>
          <w:rFonts w:eastAsia="標楷體-繁" w:hint="eastAsia"/>
          <w:rtl w:val="0"/>
          <w:lang w:val="zh-TW" w:eastAsia="zh-TW"/>
        </w:rPr>
        <w:t>華中橋：華中橋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直走景平路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景平路與中正路交叉口右轉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直走中正路</w:t>
      </w:r>
      <w:r>
        <w:rPr>
          <w:rFonts w:ascii="Times New Roman" w:hAnsi="Times New Roman" w:hint="default"/>
          <w:rtl w:val="0"/>
          <w:lang w:val="en-US"/>
        </w:rPr>
        <w:t>→</w:t>
      </w:r>
      <w:r>
        <w:rPr>
          <w:rFonts w:eastAsia="標楷體-繁" w:hint="eastAsia"/>
          <w:rtl w:val="0"/>
          <w:lang w:val="zh-TW" w:eastAsia="zh-TW"/>
        </w:rPr>
        <w:t>錦和路左轉。</w:t>
      </w:r>
    </w:p>
    <w:sectPr>
      <w:headerReference w:type="default" r:id="rId5"/>
      <w:footerReference w:type="default" r:id="rId6"/>
      <w:pgSz w:w="11900" w:h="16840" w:orient="portrait"/>
      <w:pgMar w:top="720" w:right="794" w:bottom="720" w:left="794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Calibri">
    <w:charset w:val="00"/>
    <w:family w:val="roman"/>
    <w:pitch w:val="default"/>
  </w:font>
  <w:font w:name="標楷體-繁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輸入樣式 1"/>
  </w:abstractNum>
  <w:abstractNum w:abstractNumId="1">
    <w:multiLevelType w:val="hybridMultilevel"/>
    <w:styleLink w:val="已輸入樣式 1"/>
    <w:lvl w:ilvl="0">
      <w:start w:val="1"/>
      <w:numFmt w:val="taiwaneseCounting"/>
      <w:suff w:val="tab"/>
      <w:lvlText w:val="%1."/>
      <w:lvlJc w:val="left"/>
      <w:pPr>
        <w:tabs>
          <w:tab w:val="num" w:pos="480"/>
        </w:tabs>
        <w:ind w:left="516" w:hanging="5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tabs>
          <w:tab w:val="num" w:pos="840"/>
        </w:tabs>
        <w:ind w:left="87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9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1920"/>
        </w:tabs>
        <w:ind w:left="1956" w:hanging="5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tab"/>
      <w:lvlText w:val="%5."/>
      <w:lvlJc w:val="left"/>
      <w:pPr>
        <w:tabs>
          <w:tab w:val="num" w:pos="2400"/>
        </w:tabs>
        <w:ind w:left="2436" w:hanging="5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3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3360"/>
        </w:tabs>
        <w:ind w:left="3396" w:hanging="5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tab"/>
      <w:lvlText w:val="%8."/>
      <w:lvlJc w:val="left"/>
      <w:pPr>
        <w:tabs>
          <w:tab w:val="num" w:pos="3840"/>
        </w:tabs>
        <w:ind w:left="3876" w:hanging="5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76" w:hanging="1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taiwaneseCounting"/>
        <w:suff w:val="tab"/>
        <w:lvlText w:val="%1."/>
        <w:lvlJc w:val="left"/>
        <w:pPr>
          <w:tabs>
            <w:tab w:val="num" w:pos="480"/>
          </w:tabs>
          <w:ind w:left="588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)"/>
        <w:lvlJc w:val="left"/>
        <w:pPr>
          <w:tabs>
            <w:tab w:val="num" w:pos="840"/>
          </w:tabs>
          <w:ind w:left="94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3."/>
        <w:lvlJc w:val="left"/>
        <w:pPr>
          <w:ind w:left="1068" w:hanging="2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920"/>
          </w:tabs>
          <w:ind w:left="2028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chineseCounting"/>
        <w:suff w:val="tab"/>
        <w:lvlText w:val="%5."/>
        <w:lvlJc w:val="left"/>
        <w:pPr>
          <w:tabs>
            <w:tab w:val="num" w:pos="2400"/>
          </w:tabs>
          <w:ind w:left="2508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6."/>
        <w:lvlJc w:val="left"/>
        <w:pPr>
          <w:ind w:left="2508" w:hanging="2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3360"/>
          </w:tabs>
          <w:ind w:left="3468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chineseCounting"/>
        <w:suff w:val="tab"/>
        <w:lvlText w:val="%8."/>
        <w:lvlJc w:val="left"/>
        <w:pPr>
          <w:tabs>
            <w:tab w:val="num" w:pos="3840"/>
          </w:tabs>
          <w:ind w:left="3948" w:hanging="5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3948" w:hanging="2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8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1">
    <w:name w:val="內文1"/>
    <w:next w:val="內文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 A">
    <w:name w:val="內文 A"/>
    <w:next w:val="內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輸入樣式 1">
    <w:name w:val="已輸入樣式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