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15:46</w:t>
      </w:r>
    </w:p>
    <w:p>
      <w:pPr>
        <w:pStyle w:val="Heading1"/>
        <w:jc w:val="left"/>
      </w:pPr>
      <w:r>
        <w:rPr>
          <w:b/>
        </w:rPr>
        <w:t>Новостной пост 1: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анализ** 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-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p>
      <w:pPr>
        <w:pStyle w:val="Heading1"/>
        <w:jc w:val="left"/>
      </w:pPr>
      <w:r>
        <w:rPr>
          <w:b/>
        </w:rPr>
        <w:t>Новостной пост 2: Масштабные ремонты на Артемовской ТЭЦ: обновление ключевого оборудования</w:t>
      </w:r>
    </w:p>
    <w:p>
      <w:pPr>
        <w:jc w:val="left"/>
      </w:pP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л</w:t>
      </w:r>
      <w:r>
        <w:rPr>
          <w:b/>
          <w:i w:val="0"/>
        </w:rPr>
        <w:t>ю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**Какие работы запланированы?**  </w:t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**Почему это важно?**  </w:t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щ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**Контекст: модернизация энергетики Дальнего Востока**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ш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Э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https://www.ruscable.ru/news/2025/03/04/Masshtabnye_remonty_na_Artemovskoj_TETS_obnovlenie/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