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Обратная связь по письму Кости и вложенному questions.txt</w:t>
      </w:r>
    </w:p>
    <w:p>
      <w:r>
        <w:rPr>
          <w:b w:val="0"/>
          <w:i/>
        </w:rPr>
        <w:t>Цель этого документа — проверить, насколько точна аналитика из письма Кости, что в ней можно брать как факт, а что — как гипотезу для дальнейшей проверки. Все числа ниже сверены с исходным файлом «Датасет диалогов КМ ЗП 01.01.26-18.04.26.xlsx» с реальными датами звонков из системы.</w:t>
      </w:r>
    </w:p>
    <w:p>
      <w:pPr>
        <w:pStyle w:val="Heading1"/>
      </w:pPr>
      <w:r>
        <w:t>Короткое резюме</w:t>
      </w:r>
    </w:p>
    <w:p>
      <w:r>
        <w:rPr>
          <w:b w:val="0"/>
          <w:i w:val="0"/>
        </w:rPr>
        <w:t>Письмо Кости — это полезная exploratory-аналитика. По выборке он попал точно: его «2 671 февральских диалога» и «2 097 исходящих» воспроизводятся на текущем датасете с точностью до пары строк. Но при интерпретации метрик в письме сместились термины: то, что названо «исходящими», на самом деле является фильтром по типу задачи, а не по направлению звонка; а «перезвон / отказ / согласие» — это LLM-разметка событий в тексте, а не CRM-исходы.</w:t>
      </w:r>
    </w:p>
    <w:p>
      <w:r>
        <w:rPr>
          <w:b w:val="0"/>
          <w:i w:val="0"/>
        </w:rPr>
        <w:t>Поэтому документ нельзя использовать как окончательную статистическую воронку, но можно — как карту вех диалога и источник гипотез для дальнейшей работы. Цифра конверсии 13% оказалась близка по порядку к CRM-конверсии в этом product-offer срезе (около 14%), поэтому её можно использовать как качественный ориентир, но не как точную CRM-метрику.</w:t>
      </w:r>
    </w:p>
    <w:p>
      <w:pPr>
        <w:pStyle w:val="Heading1"/>
      </w:pPr>
      <w:r>
        <w:t>1. Что в письме сделано хорошо</w:t>
      </w:r>
    </w:p>
    <w:p>
      <w:pPr>
        <w:pStyle w:val="ListBullet"/>
      </w:pPr>
      <w:r>
        <w:t>Чёткая ремарка о том, что это первая итерация и возможны огрехи. Это правильный тон для exploratory-анализа: не претендует на финальные числа, оставляет место для уточнений.</w:t>
      </w:r>
    </w:p>
    <w:p>
      <w:pPr>
        <w:pStyle w:val="ListBullet"/>
      </w:pPr>
      <w:r>
        <w:t>Декомпозиция этапов диалога (приветствие, идентификация, вопрос, условия, заинтересованность, отказ, согласие, оформление, навигация, негатив, перезвон, инструкция, прощание) — рабочая понятийная сетка. Её можно использовать как слой событий для дальнейшего анализа.</w:t>
      </w:r>
    </w:p>
    <w:p>
      <w:pPr>
        <w:pStyle w:val="ListBullet"/>
      </w:pPr>
      <w:r>
        <w:t>Важная и точная мысль: «согласие ≠ оформление». В корпусе действительно много звонков, где клиент устно соглашается, но до подписания дело не доходит, и наоборот — звонки, где оформление в звонке завершено без отдельного эпизода «согласия». Это содержательно правильное наблюдение.</w:t>
      </w:r>
    </w:p>
    <w:p>
      <w:pPr>
        <w:pStyle w:val="ListBullet"/>
      </w:pPr>
      <w:r>
        <w:t>Таблица типичных интервалов перезвона («через час», «завтра», «через несколько минут» и т. д.) — полезная операционная информация. Она напрямую применима в боте: когда клиент просит перезвонить, бот должен фиксировать конкретный слот, а распределение этих слотов из таблицы Кости даёт ориентир для дефолтов и UX-формулировок.</w:t>
      </w:r>
    </w:p>
    <w:p>
      <w:pPr>
        <w:pStyle w:val="ListBullet"/>
      </w:pPr>
      <w:r>
        <w:t>Наблюдение про крайне редкий явный негатив — по порядку величины верное: в корпусе действительно преобладают вежливые отказы и переносы, открытой грубости почти нет. Это важно для бота: сценарий «жёсткой деэскалации» не выглядит приоритетным для первой версии. Для ручной валидации точного числа потребовался бы отдельный проход по корпусу с фиксированной методикой разметки негатива.</w:t>
      </w:r>
    </w:p>
    <w:p>
      <w:pPr>
        <w:pStyle w:val="Heading1"/>
      </w:pPr>
      <w:r>
        <w:t>2. По базовой выборке: цифры воспроизводятся, но термин «исходящих» некорректен</w:t>
      </w:r>
    </w:p>
    <w:p>
      <w:r>
        <w:rPr>
          <w:b w:val="0"/>
          <w:i w:val="0"/>
        </w:rPr>
        <w:t>После сверки с реальными датами всех 8 386 строк датасета распределение по месяцам такое:</w:t>
      </w:r>
    </w:p>
    <w:tbl>
      <w:tblPr>
        <w:tblStyle w:val="LightGrid-Accent1"/>
        <w:tblW w:type="auto" w:w="0"/>
        <w:tblLook w:firstColumn="1" w:firstRow="1" w:lastColumn="0" w:lastRow="0" w:noHBand="0" w:noVBand="1" w:val="04A0"/>
      </w:tblPr>
      <w:tblGrid>
        <w:gridCol w:w="4986"/>
        <w:gridCol w:w="4986"/>
      </w:tblGrid>
      <w:tr>
        <w:tc>
          <w:tcPr>
            <w:tcW w:type="dxa" w:w="4986"/>
          </w:tcPr>
          <w:p>
            <w:r/>
            <w:r>
              <w:rPr>
                <w:b/>
              </w:rPr>
              <w:t>Месяц</w:t>
            </w:r>
          </w:p>
        </w:tc>
        <w:tc>
          <w:tcPr>
            <w:tcW w:type="dxa" w:w="4986"/>
          </w:tcPr>
          <w:p>
            <w:r/>
            <w:r>
              <w:rPr>
                <w:b/>
              </w:rPr>
              <w:t>Диалогов в датасете</w:t>
            </w:r>
          </w:p>
        </w:tc>
      </w:tr>
      <w:tr>
        <w:tc>
          <w:tcPr>
            <w:tcW w:type="dxa" w:w="4986"/>
          </w:tcPr>
          <w:p>
            <w:r>
              <w:t>Январь</w:t>
            </w:r>
          </w:p>
        </w:tc>
        <w:tc>
          <w:tcPr>
            <w:tcW w:type="dxa" w:w="4986"/>
          </w:tcPr>
          <w:p>
            <w:r>
              <w:t>1 026</w:t>
            </w:r>
          </w:p>
        </w:tc>
      </w:tr>
      <w:tr>
        <w:tc>
          <w:tcPr>
            <w:tcW w:type="dxa" w:w="4986"/>
          </w:tcPr>
          <w:p>
            <w:r>
              <w:t>Февраль</w:t>
            </w:r>
          </w:p>
        </w:tc>
        <w:tc>
          <w:tcPr>
            <w:tcW w:type="dxa" w:w="4986"/>
          </w:tcPr>
          <w:p>
            <w:r>
              <w:t>2 673</w:t>
            </w:r>
          </w:p>
        </w:tc>
      </w:tr>
      <w:tr>
        <w:tc>
          <w:tcPr>
            <w:tcW w:type="dxa" w:w="4986"/>
          </w:tcPr>
          <w:p>
            <w:r>
              <w:t>Март</w:t>
            </w:r>
          </w:p>
        </w:tc>
        <w:tc>
          <w:tcPr>
            <w:tcW w:type="dxa" w:w="4986"/>
          </w:tcPr>
          <w:p>
            <w:r>
              <w:t>2 918</w:t>
            </w:r>
          </w:p>
        </w:tc>
      </w:tr>
      <w:tr>
        <w:tc>
          <w:tcPr>
            <w:tcW w:type="dxa" w:w="4986"/>
          </w:tcPr>
          <w:p>
            <w:r>
              <w:t>Апрель (1–18)</w:t>
            </w:r>
          </w:p>
        </w:tc>
        <w:tc>
          <w:tcPr>
            <w:tcW w:type="dxa" w:w="4986"/>
          </w:tcPr>
          <w:p>
            <w:r>
              <w:t>1 769</w:t>
            </w:r>
          </w:p>
        </w:tc>
      </w:tr>
      <w:tr>
        <w:tc>
          <w:tcPr>
            <w:tcW w:type="dxa" w:w="4986"/>
          </w:tcPr>
          <w:p>
            <w:r>
              <w:t>Итого</w:t>
            </w:r>
          </w:p>
        </w:tc>
        <w:tc>
          <w:tcPr>
            <w:tcW w:type="dxa" w:w="4986"/>
          </w:tcPr>
          <w:p>
            <w:r>
              <w:t>8 386</w:t>
            </w:r>
          </w:p>
        </w:tc>
      </w:tr>
    </w:tbl>
    <w:p>
      <w:r>
        <w:rPr>
          <w:b w:val="0"/>
          <w:i w:val="0"/>
        </w:rPr>
        <w:t>Это базовая физика: январь — мало диалогов (структурно меньше всех), февраль — около 2 673 строк. Костины 2 671 близки к этому числу (расхождение в 2 строки, вероятно, из-за разной обработки пограничных записей).</w:t>
      </w:r>
    </w:p>
    <w:p>
      <w:r>
        <w:rPr>
          <w:b w:val="0"/>
          <w:i w:val="0"/>
        </w:rPr>
        <w:t>Дальше — критическая правка интерпретации. Цифры 2 097 «исходящих», 367 «автоответов» и 1 730 «исходящих без автоответа» не отражают направление звонка. После прямой проверки:</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
              <w:rPr>
                <w:b/>
              </w:rPr>
              <w:t>Метрика письма Кости</w:t>
            </w:r>
          </w:p>
        </w:tc>
        <w:tc>
          <w:tcPr>
            <w:tcW w:type="dxa" w:w="3324"/>
          </w:tcPr>
          <w:p>
            <w:r/>
            <w:r>
              <w:rPr>
                <w:b/>
              </w:rPr>
              <w:t>Реальное значение в датасете</w:t>
            </w:r>
          </w:p>
        </w:tc>
        <w:tc>
          <w:tcPr>
            <w:tcW w:type="dxa" w:w="3324"/>
          </w:tcPr>
          <w:p>
            <w:r/>
            <w:r>
              <w:rPr>
                <w:b/>
              </w:rPr>
              <w:t>Что это на самом деле</w:t>
            </w:r>
          </w:p>
        </w:tc>
      </w:tr>
      <w:tr>
        <w:tc>
          <w:tcPr>
            <w:tcW w:type="dxa" w:w="3324"/>
          </w:tcPr>
          <w:p>
            <w:r>
              <w:t>Февральских диалогов: 2 671</w:t>
            </w:r>
          </w:p>
        </w:tc>
        <w:tc>
          <w:tcPr>
            <w:tcW w:type="dxa" w:w="3324"/>
          </w:tcPr>
          <w:p>
            <w:r>
              <w:t>2 673 (Δ +2)</w:t>
            </w:r>
          </w:p>
        </w:tc>
        <w:tc>
          <w:tcPr>
            <w:tcW w:type="dxa" w:w="3324"/>
          </w:tcPr>
          <w:p>
            <w:r>
              <w:t>Все строки за февраль, любой тип задачи</w:t>
            </w:r>
          </w:p>
        </w:tc>
      </w:tr>
      <w:tr>
        <w:tc>
          <w:tcPr>
            <w:tcW w:type="dxa" w:w="3324"/>
          </w:tcPr>
          <w:p>
            <w:r>
              <w:t>«Исходящих»: 2 097 (78%)</w:t>
            </w:r>
          </w:p>
        </w:tc>
        <w:tc>
          <w:tcPr>
            <w:tcW w:type="dxa" w:w="3324"/>
          </w:tcPr>
          <w:p>
            <w:r>
              <w:t>≈ 2 097 диалогов с типом задачи «Продуктовое предложение»</w:t>
            </w:r>
          </w:p>
        </w:tc>
        <w:tc>
          <w:tcPr>
            <w:tcW w:type="dxa" w:w="3324"/>
          </w:tcPr>
          <w:p>
            <w:r>
              <w:t>Это срез по типу задачи, не по направлению звонка. В датасете нет поля «направление» как такового</w:t>
            </w:r>
          </w:p>
        </w:tc>
      </w:tr>
      <w:tr>
        <w:tc>
          <w:tcPr>
            <w:tcW w:type="dxa" w:w="3324"/>
          </w:tcPr>
          <w:p>
            <w:r>
              <w:t>Автоответ: 367 (18%)</w:t>
            </w:r>
          </w:p>
        </w:tc>
        <w:tc>
          <w:tcPr>
            <w:tcW w:type="dxa" w:w="3324"/>
          </w:tcPr>
          <w:p>
            <w:r>
              <w:t>374 односторонних или обрывных звонка (говорит только клиент или только сотрудник)</w:t>
            </w:r>
          </w:p>
        </w:tc>
        <w:tc>
          <w:tcPr>
            <w:tcW w:type="dxa" w:w="3324"/>
          </w:tcPr>
          <w:p>
            <w:r>
              <w:t>Большинство из них — реально автоответчики и обрывы; разница с Костиными 367 — в пределах десятка строк, расхождение методик разметки</w:t>
            </w:r>
          </w:p>
        </w:tc>
      </w:tr>
      <w:tr>
        <w:tc>
          <w:tcPr>
            <w:tcW w:type="dxa" w:w="3324"/>
          </w:tcPr>
          <w:p>
            <w:r>
              <w:t>Без автоответа: 1 730</w:t>
            </w:r>
          </w:p>
        </w:tc>
        <w:tc>
          <w:tcPr>
            <w:tcW w:type="dxa" w:w="3324"/>
          </w:tcPr>
          <w:p>
            <w:r>
              <w:t>1 723 двусторонних звонка, из них 1 494 проходят строгий фильтр пригодности (≥4 реплик и ≥100 символов)</w:t>
            </w:r>
          </w:p>
        </w:tc>
        <w:tc>
          <w:tcPr>
            <w:tcW w:type="dxa" w:w="3324"/>
          </w:tcPr>
          <w:p>
            <w:r>
              <w:t>Содержательные двусторонние диалоги внутри product-offer среза; нижняя граница соответствует тем же критериям пригодности, что используются в основном анализе корпуса</w:t>
            </w:r>
          </w:p>
        </w:tc>
      </w:tr>
    </w:tbl>
    <w:p>
      <w:r>
        <w:rPr>
          <w:b w:val="0"/>
          <w:i w:val="0"/>
        </w:rPr>
        <w:t>То есть Костины 2 097 — это не «исходящих», а «февральских звонков с чистым типом задачи Продуктовое предложение». Численно он попал, но имя у метрики поставлено неточно. Это важно, потому что в корпусе есть ещё четыре типа задач кроме «Продуктовое предложение»: «Оформление продукта», «Активация сделки», «Расширение сотрудничества», «Возобновление» и т. д. Они принципиально отличаются по конверсии (например, у «Оформление продукта» — выше 80% согласий, у «Продуктовое предложение» — около 13–14%). Если коллеги прочитают «2 097 исходящих» как «весь февральский исходящий поток», они автоматически перенесут на этот срез выводы, которые применимы только к product-offer.</w:t>
      </w:r>
    </w:p>
    <w:p>
      <w:r>
        <w:rPr>
          <w:b w:val="0"/>
          <w:i/>
        </w:rPr>
        <w:t>Рекомендация по формулировке: «2 097 февральских диалогов с типом задачи Продуктовое предложение». Тогда читатель сразу понимает, что речь о холодном/полухолодном срезе, и не путает его с тёплыми оформлениями.</w:t>
      </w:r>
    </w:p>
    <w:p>
      <w:pPr>
        <w:pStyle w:val="Heading1"/>
      </w:pPr>
      <w:r>
        <w:t>3. «Перезвон / Отказ / Согласие» — это события в тексте, а не CRM-воронка</w:t>
      </w:r>
    </w:p>
    <w:p>
      <w:r>
        <w:rPr>
          <w:b w:val="0"/>
          <w:i w:val="0"/>
        </w:rPr>
        <w:t>Это главное место, где письмо нужно читать с поправкой. В датасете для каждого звонка есть поле «Результат коммуникации» — это CRM-исход, проставленный менеджером после звонка. У Кости же цифры приходят из LLM-разметки текста: «прозвучала ли просьба перезвонить», «прозвучал ли отказ», «прозвучало ли согласие». Это разные сущности.</w:t>
      </w:r>
    </w:p>
    <w:p>
      <w:r>
        <w:rPr>
          <w:b w:val="0"/>
          <w:i w:val="0"/>
        </w:rPr>
        <w:t>Сравнение на том же февральском product-offer срезе. Для CRM-сравнения ниже взята строгая пригодная подвыборка с однозначным исходом — 1 240 строк; поэтому эти проценты не надо напрямую сравнивать с базой 1 723 / 1 494 — у CRM-таблицы свой более узкий знаменатель.</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
              <w:rPr>
                <w:b/>
              </w:rPr>
              <w:t>Метрика</w:t>
            </w:r>
          </w:p>
        </w:tc>
        <w:tc>
          <w:tcPr>
            <w:tcW w:type="dxa" w:w="2493"/>
          </w:tcPr>
          <w:p>
            <w:r/>
            <w:r>
              <w:rPr>
                <w:b/>
              </w:rPr>
              <w:t>Письмо Кости (LLM-событие)</w:t>
            </w:r>
          </w:p>
        </w:tc>
        <w:tc>
          <w:tcPr>
            <w:tcW w:type="dxa" w:w="2493"/>
          </w:tcPr>
          <w:p>
            <w:r/>
            <w:r>
              <w:rPr>
                <w:b/>
              </w:rPr>
              <w:t>CRM-исход на 1 240 ясных диалогах</w:t>
            </w:r>
          </w:p>
        </w:tc>
        <w:tc>
          <w:tcPr>
            <w:tcW w:type="dxa" w:w="2493"/>
          </w:tcPr>
          <w:p>
            <w:r/>
            <w:r>
              <w:rPr>
                <w:b/>
              </w:rPr>
              <w:t>Комментарий</w:t>
            </w:r>
          </w:p>
        </w:tc>
      </w:tr>
      <w:tr>
        <w:tc>
          <w:tcPr>
            <w:tcW w:type="dxa" w:w="2493"/>
          </w:tcPr>
          <w:p>
            <w:r>
              <w:t>Перезвон / Перенос</w:t>
            </w:r>
          </w:p>
        </w:tc>
        <w:tc>
          <w:tcPr>
            <w:tcW w:type="dxa" w:w="2493"/>
          </w:tcPr>
          <w:p>
            <w:r>
              <w:t>919 (53%)</w:t>
            </w:r>
          </w:p>
        </w:tc>
        <w:tc>
          <w:tcPr>
            <w:tcW w:type="dxa" w:w="2493"/>
          </w:tcPr>
          <w:p>
            <w:r>
              <w:t>535 (43%)</w:t>
            </w:r>
          </w:p>
        </w:tc>
        <w:tc>
          <w:tcPr>
            <w:tcW w:type="dxa" w:w="2493"/>
          </w:tcPr>
          <w:p>
            <w:r>
              <w:t>Костя ловит больше, чем CRM-переносов. Вероятно, событие «просьба перезвонить прозвучала в тексте» срабатывает чаще, чем менеджер выставлял «Перенос» как итог звонка</w:t>
            </w:r>
          </w:p>
        </w:tc>
      </w:tr>
      <w:tr>
        <w:tc>
          <w:tcPr>
            <w:tcW w:type="dxa" w:w="2493"/>
          </w:tcPr>
          <w:p>
            <w:r>
              <w:t>Отказ</w:t>
            </w:r>
          </w:p>
        </w:tc>
        <w:tc>
          <w:tcPr>
            <w:tcW w:type="dxa" w:w="2493"/>
          </w:tcPr>
          <w:p>
            <w:r>
              <w:t>456 (26%)</w:t>
            </w:r>
          </w:p>
        </w:tc>
        <w:tc>
          <w:tcPr>
            <w:tcW w:type="dxa" w:w="2493"/>
          </w:tcPr>
          <w:p>
            <w:r>
              <w:t>531 (43%)</w:t>
            </w:r>
          </w:p>
        </w:tc>
        <w:tc>
          <w:tcPr>
            <w:tcW w:type="dxa" w:w="2493"/>
          </w:tcPr>
          <w:p>
            <w:r>
              <w:t>Костя недосчитывает: «явный лексический отказ» в речи — это узкая подкатегория от всех CRM-отказов. Часть отказов клиент формулирует мягко (без явной фразы «не нужно»), и LLM их пропускает</w:t>
            </w:r>
          </w:p>
        </w:tc>
      </w:tr>
      <w:tr>
        <w:tc>
          <w:tcPr>
            <w:tcW w:type="dxa" w:w="2493"/>
          </w:tcPr>
          <w:p>
            <w:r>
              <w:t>Согласие</w:t>
            </w:r>
          </w:p>
        </w:tc>
        <w:tc>
          <w:tcPr>
            <w:tcW w:type="dxa" w:w="2493"/>
          </w:tcPr>
          <w:p>
            <w:r>
              <w:t>220 (13%)</w:t>
            </w:r>
          </w:p>
        </w:tc>
        <w:tc>
          <w:tcPr>
            <w:tcW w:type="dxa" w:w="2493"/>
          </w:tcPr>
          <w:p>
            <w:r>
              <w:t>174 (14%)</w:t>
            </w:r>
          </w:p>
        </w:tc>
        <w:tc>
          <w:tcPr>
            <w:tcW w:type="dxa" w:w="2493"/>
          </w:tcPr>
          <w:p>
            <w:r>
              <w:t>Костя ловит чуть больше, чем CRM-согласий. Сам отмечает, что в его «согласия» попали звонки, где менеджер уточнял, удалось ли клиенту подключить самостоятельно, — это не CRM-согласие, а согласие на промежуточном шаге</w:t>
            </w:r>
          </w:p>
        </w:tc>
      </w:tr>
    </w:tbl>
    <w:p>
      <w:r>
        <w:rPr>
          <w:b w:val="0"/>
          <w:i w:val="0"/>
        </w:rPr>
        <w:t>Дополнительный важный момент: знаменатель имеет значение. Костины 13% посчитаны от ~1 730 строк (product-offer без автоответов в его методике). CRM-согласие в 14% посчитано от 1 240 строк с однозначным исходом (Согласие / Перенос / Отказ). Если считать от всех 1 723 содержательных диалогов в срезе — доля согласий будет ниже (~10%), потому что часть строк остаётся без чёткого CRM-исхода (статусы «Закрыта», «Удалён», NULL).</w:t>
      </w:r>
    </w:p>
    <w:p>
      <w:r>
        <w:rPr>
          <w:b w:val="0"/>
          <w:i w:val="0"/>
        </w:rPr>
        <w:t>Содержательный вывод: 13% Кости — это не ошибка, и не точное измерение. Это устойчивый качественный сигнал «холодный/полухолодный срез даёт согласие примерно в одном из восьми разговоров». Как ориентир — годится; как точная CRM-метрика — нет.</w:t>
      </w:r>
    </w:p>
    <w:p>
      <w:r>
        <w:rPr>
          <w:b/>
          <w:i w:val="0"/>
        </w:rPr>
        <w:t>Что предлагается изменить в формулировках:</w:t>
      </w:r>
    </w:p>
    <w:p>
      <w:pPr>
        <w:pStyle w:val="ListBullet"/>
      </w:pPr>
      <w:r>
        <w:t>Не «919 перезвонов», а «919 диалогов, где LLM-разметка зафиксировала просьбу или обсуждение перезвона». Это шире, чем CRM-перенос: например, клиент может попросить перезвонить, но менеджер успел снять основные вопросы и закрыть на согласие в этом же звонке.</w:t>
      </w:r>
    </w:p>
    <w:p>
      <w:pPr>
        <w:pStyle w:val="ListBullet"/>
      </w:pPr>
      <w:r>
        <w:t>Не «456 отказов», а «456 диалогов с явным лексическим отказом». Часть тихих/вежливых отказов сюда не попала.</w:t>
      </w:r>
    </w:p>
    <w:p>
      <w:pPr>
        <w:pStyle w:val="ListBullet"/>
      </w:pPr>
      <w:r>
        <w:t>Не «220 согласий», а «220 эпизодов согласия в тексте (на оформление, инструкцию или подключение)». Сам Костя в письме это уточняет, но в сводке цифра живёт как «согласие на оформление», что менее точно.</w:t>
      </w:r>
    </w:p>
    <w:p>
      <w:pPr>
        <w:pStyle w:val="ListBullet"/>
      </w:pPr>
      <w:r>
        <w:t>Если нужна сопоставимая со звонком метрика «согласие на продукт» — её надо брать из поля «Результат коммуникации», тогда цифра будет ~174 на этом срезе.</w:t>
      </w:r>
    </w:p>
    <w:p>
      <w:pPr>
        <w:pStyle w:val="Heading1"/>
      </w:pPr>
      <w:r>
        <w:t>4. Граф этапов диалога — полезный exploratory-слой, но не доказательная воронка</w:t>
      </w:r>
    </w:p>
    <w:p>
      <w:r>
        <w:rPr>
          <w:b w:val="0"/>
          <w:i w:val="0"/>
        </w:rPr>
        <w:t>Граф основных этапов и наиболее частых переходов (например, «Приветствие → Идентификация → Вопрос → Отказ → Прощание = 223 диалога») — это интересная карта поведенческих паттернов. Но для доказательной аналитики такого графа недостаточно: нужны (а) формальные правила разметки каждого этапа, чтобы их можно было воспроизвести, (б) метрики качества разметки на отложенной выборке (precision/recall по каждому этапу), (в) полные веса всех рёбер графа, а не только наиболее частых.</w:t>
      </w:r>
    </w:p>
    <w:p>
      <w:r>
        <w:rPr>
          <w:b w:val="0"/>
          <w:i/>
        </w:rPr>
        <w:t>Сейчас граф читается как «вот так выглядят типичные сценарии», и в этом качестве он работает. Чтобы его можно было использовать в продуктовых решениях (например, при дизайне сценариев бота), нужен ещё один шаг — фиксация методики разметки и сверка на выборке вручную.</w:t>
      </w:r>
    </w:p>
    <w:p>
      <w:pPr>
        <w:pStyle w:val="Heading1"/>
      </w:pPr>
      <w:r>
        <w:t>5. Файл questions.txt: полезное сырьё, но требует чистки</w:t>
      </w:r>
    </w:p>
    <w:p>
      <w:r>
        <w:rPr>
          <w:b w:val="0"/>
          <w:i w:val="0"/>
        </w:rPr>
        <w:t>В письме упомянуто, что Гигачат выделил вопросы и ответы в 525 диалогах. Сам приложенный questions.txt при разборе даёт другую картину:</w:t>
      </w:r>
    </w:p>
    <w:tbl>
      <w:tblPr>
        <w:tblStyle w:val="LightGrid-Accent1"/>
        <w:tblW w:type="auto" w:w="0"/>
        <w:tblLook w:firstColumn="1" w:firstRow="1" w:lastColumn="0" w:lastRow="0" w:noHBand="0" w:noVBand="1" w:val="04A0"/>
      </w:tblPr>
      <w:tblGrid>
        <w:gridCol w:w="4986"/>
        <w:gridCol w:w="4986"/>
      </w:tblGrid>
      <w:tr>
        <w:tc>
          <w:tcPr>
            <w:tcW w:type="dxa" w:w="4986"/>
          </w:tcPr>
          <w:p>
            <w:r/>
            <w:r>
              <w:rPr>
                <w:b/>
              </w:rPr>
              <w:t>Что</w:t>
            </w:r>
          </w:p>
        </w:tc>
        <w:tc>
          <w:tcPr>
            <w:tcW w:type="dxa" w:w="4986"/>
          </w:tcPr>
          <w:p>
            <w:r/>
            <w:r>
              <w:rPr>
                <w:b/>
              </w:rPr>
              <w:t>В файле questions.txt</w:t>
            </w:r>
          </w:p>
        </w:tc>
      </w:tr>
      <w:tr>
        <w:tc>
          <w:tcPr>
            <w:tcW w:type="dxa" w:w="4986"/>
          </w:tcPr>
          <w:p>
            <w:r>
              <w:t>Всего фрагментов</w:t>
            </w:r>
          </w:p>
        </w:tc>
        <w:tc>
          <w:tcPr>
            <w:tcW w:type="dxa" w:w="4986"/>
          </w:tcPr>
          <w:p>
            <w:r>
              <w:t>366</w:t>
            </w:r>
          </w:p>
        </w:tc>
      </w:tr>
      <w:tr>
        <w:tc>
          <w:tcPr>
            <w:tcW w:type="dxa" w:w="4986"/>
          </w:tcPr>
          <w:p>
            <w:r>
              <w:t>Полноценные пары «вопрос клиента + ответ сотрудника»</w:t>
            </w:r>
          </w:p>
        </w:tc>
        <w:tc>
          <w:tcPr>
            <w:tcW w:type="dxa" w:w="4986"/>
          </w:tcPr>
          <w:p>
            <w:r>
              <w:t>173</w:t>
            </w:r>
          </w:p>
        </w:tc>
      </w:tr>
      <w:tr>
        <w:tc>
          <w:tcPr>
            <w:tcW w:type="dxa" w:w="4986"/>
          </w:tcPr>
          <w:p>
            <w:r>
              <w:t>Только реплика клиента (без ответа)</w:t>
            </w:r>
          </w:p>
        </w:tc>
        <w:tc>
          <w:tcPr>
            <w:tcW w:type="dxa" w:w="4986"/>
          </w:tcPr>
          <w:p>
            <w:r>
              <w:t>119</w:t>
            </w:r>
          </w:p>
        </w:tc>
      </w:tr>
      <w:tr>
        <w:tc>
          <w:tcPr>
            <w:tcW w:type="dxa" w:w="4986"/>
          </w:tcPr>
          <w:p>
            <w:r>
              <w:t>Только реплика сотрудника</w:t>
            </w:r>
          </w:p>
        </w:tc>
        <w:tc>
          <w:tcPr>
            <w:tcW w:type="dxa" w:w="4986"/>
          </w:tcPr>
          <w:p>
            <w:r>
              <w:t>74</w:t>
            </w:r>
          </w:p>
        </w:tc>
      </w:tr>
      <w:tr>
        <w:tc>
          <w:tcPr>
            <w:tcW w:type="dxa" w:w="4986"/>
          </w:tcPr>
          <w:p>
            <w:r>
              <w:t>Фрагменты с упоминанием «зарплат(н)»</w:t>
            </w:r>
          </w:p>
        </w:tc>
        <w:tc>
          <w:tcPr>
            <w:tcW w:type="dxa" w:w="4986"/>
          </w:tcPr>
          <w:p>
            <w:r>
              <w:t>≈ 103</w:t>
            </w:r>
          </w:p>
        </w:tc>
      </w:tr>
      <w:tr>
        <w:tc>
          <w:tcPr>
            <w:tcW w:type="dxa" w:w="4986"/>
          </w:tcPr>
          <w:p>
            <w:r>
              <w:t>Фрагменты со смежными темами (налоги, эквайринг, депозит, тарифы, лимиты, токен, кэшбэк и т. п.)</w:t>
            </w:r>
          </w:p>
        </w:tc>
        <w:tc>
          <w:tcPr>
            <w:tcW w:type="dxa" w:w="4986"/>
          </w:tcPr>
          <w:p>
            <w:r>
              <w:t>≈ 101</w:t>
            </w:r>
          </w:p>
        </w:tc>
      </w:tr>
      <w:tr>
        <w:tc>
          <w:tcPr>
            <w:tcW w:type="dxa" w:w="4986"/>
          </w:tcPr>
          <w:p>
            <w:r>
              <w:t>Фрагменты без явного упоминания ЗПП</w:t>
            </w:r>
          </w:p>
        </w:tc>
        <w:tc>
          <w:tcPr>
            <w:tcW w:type="dxa" w:w="4986"/>
          </w:tcPr>
          <w:p>
            <w:r>
              <w:t>263</w:t>
            </w:r>
          </w:p>
        </w:tc>
      </w:tr>
    </w:tbl>
    <w:p>
      <w:r>
        <w:rPr>
          <w:b w:val="0"/>
          <w:i w:val="0"/>
        </w:rPr>
        <w:t>То есть 525 — это, видимо, число диалогов, в которых что-то выделилось. А в файл попали не только ЗПП-вопросы, но и значительный шум: вопросы про эквайринг, кредиты, депозиты, неснижаемый остаток, комиссии за платежи физлицам, кэшбэк, налоги самозанятых, лимиты тарифов и так далее. Часть вопросов вообще без ответа сотрудника — то есть это даже не пара «вопрос–ответ», а один из них.</w:t>
      </w:r>
    </w:p>
    <w:p>
      <w:r>
        <w:rPr>
          <w:b w:val="0"/>
          <w:i w:val="0"/>
        </w:rPr>
        <w:t>Это не значит, что файл бесполезный — наоборот, в нём есть много хороших примеров вопросов по ЗПП («А обязательно ли сотрудникам открывать новые карты?», «Что за тарифы при сбербанковской карте сотрудника?», «Сколько займёт получение токена?»). Но для использования как базы знаний бота файл сначала нужно расщепить на три корзины:</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
              <w:rPr>
                <w:b/>
              </w:rPr>
              <w:t>Корзина</w:t>
            </w:r>
          </w:p>
        </w:tc>
        <w:tc>
          <w:tcPr>
            <w:tcW w:type="dxa" w:w="3324"/>
          </w:tcPr>
          <w:p>
            <w:r/>
            <w:r>
              <w:rPr>
                <w:b/>
              </w:rPr>
              <w:t>Что в ней</w:t>
            </w:r>
          </w:p>
        </w:tc>
        <w:tc>
          <w:tcPr>
            <w:tcW w:type="dxa" w:w="3324"/>
          </w:tcPr>
          <w:p>
            <w:r/>
            <w:r>
              <w:rPr>
                <w:b/>
              </w:rPr>
              <w:t>Что с ней делать</w:t>
            </w:r>
          </w:p>
        </w:tc>
      </w:tr>
      <w:tr>
        <w:tc>
          <w:tcPr>
            <w:tcW w:type="dxa" w:w="3324"/>
          </w:tcPr>
          <w:p>
            <w:r>
              <w:t>Валидные ЗПП-вопросы</w:t>
            </w:r>
          </w:p>
        </w:tc>
        <w:tc>
          <w:tcPr>
            <w:tcW w:type="dxa" w:w="3324"/>
          </w:tcPr>
          <w:p>
            <w:r>
              <w:t>Прямой вопрос про ЗПП + понятный ответ менеджера</w:t>
            </w:r>
          </w:p>
        </w:tc>
        <w:tc>
          <w:tcPr>
            <w:tcW w:type="dxa" w:w="3324"/>
          </w:tcPr>
          <w:p>
            <w:r>
              <w:t>После продуктовой проверки превращать в FAQ</w:t>
            </w:r>
          </w:p>
        </w:tc>
      </w:tr>
      <w:tr>
        <w:tc>
          <w:tcPr>
            <w:tcW w:type="dxa" w:w="3324"/>
          </w:tcPr>
          <w:p>
            <w:r>
              <w:t>Пограничные вопросы</w:t>
            </w:r>
          </w:p>
        </w:tc>
        <w:tc>
          <w:tcPr>
            <w:tcW w:type="dxa" w:w="3324"/>
          </w:tcPr>
          <w:p>
            <w:r>
              <w:t>Самозанятые, карты, лимиты, выпуск пластика, тарифы по переводам — близко к ЗПП, но не строго про него</w:t>
            </w:r>
          </w:p>
        </w:tc>
        <w:tc>
          <w:tcPr>
            <w:tcW w:type="dxa" w:w="3324"/>
          </w:tcPr>
          <w:p>
            <w:r>
              <w:t>Нужна валидация продукта/эксперта; часть пойдёт в FAQ, часть — в инструкции по эскалации к специалисту</w:t>
            </w:r>
          </w:p>
        </w:tc>
      </w:tr>
      <w:tr>
        <w:tc>
          <w:tcPr>
            <w:tcW w:type="dxa" w:w="3324"/>
          </w:tcPr>
          <w:p>
            <w:r>
              <w:t>Непрофильные вопросы</w:t>
            </w:r>
          </w:p>
        </w:tc>
        <w:tc>
          <w:tcPr>
            <w:tcW w:type="dxa" w:w="3324"/>
          </w:tcPr>
          <w:p>
            <w:r>
              <w:t>Эквайринг, депозиты, кредиты, налоги ФНС, кэшбэк, неснижаемый остаток, ЮKassa</w:t>
            </w:r>
          </w:p>
        </w:tc>
        <w:tc>
          <w:tcPr>
            <w:tcW w:type="dxa" w:w="3324"/>
          </w:tcPr>
          <w:p>
            <w:r>
              <w:t>Не учить бота отвечать; учить корректно перенаправлять к профильному менеджеру или каналу поддержки</w:t>
            </w:r>
          </w:p>
        </w:tc>
      </w:tr>
    </w:tbl>
    <w:p>
      <w:r>
        <w:rPr>
          <w:b w:val="0"/>
          <w:i w:val="0"/>
        </w:rPr>
        <w:t>Численная оценка корзин на сейчас приблизительная (примерно 100 / 100 / 165), потому что разделение по ключевым словам не идеальное — финальная сортировка требует ручного прохода. Но порядки уже видны: «непрофильное» — порядка половины файла.</w:t>
      </w:r>
    </w:p>
    <w:p>
      <w:pPr>
        <w:pStyle w:val="Heading1"/>
      </w:pPr>
      <w:r>
        <w:t>6. Что брать из письма как факт, что — как гипотезу</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
              <w:rPr>
                <w:b/>
              </w:rPr>
              <w:t>Из письма Кости</w:t>
            </w:r>
          </w:p>
        </w:tc>
        <w:tc>
          <w:tcPr>
            <w:tcW w:type="dxa" w:w="3324"/>
          </w:tcPr>
          <w:p>
            <w:r/>
            <w:r>
              <w:rPr>
                <w:b/>
              </w:rPr>
              <w:t>Можно ли брать как факт?</w:t>
            </w:r>
          </w:p>
        </w:tc>
        <w:tc>
          <w:tcPr>
            <w:tcW w:type="dxa" w:w="3324"/>
          </w:tcPr>
          <w:p>
            <w:r/>
            <w:r>
              <w:rPr>
                <w:b/>
              </w:rPr>
              <w:t>Почему</w:t>
            </w:r>
          </w:p>
        </w:tc>
      </w:tr>
      <w:tr>
        <w:tc>
          <w:tcPr>
            <w:tcW w:type="dxa" w:w="3324"/>
          </w:tcPr>
          <w:p>
            <w:r>
              <w:t>Выбор февральской выборки и её размер ≈ 2 671</w:t>
            </w:r>
          </w:p>
        </w:tc>
        <w:tc>
          <w:tcPr>
            <w:tcW w:type="dxa" w:w="3324"/>
          </w:tcPr>
          <w:p>
            <w:r>
              <w:t>Да</w:t>
            </w:r>
          </w:p>
        </w:tc>
        <w:tc>
          <w:tcPr>
            <w:tcW w:type="dxa" w:w="3324"/>
          </w:tcPr>
          <w:p>
            <w:r>
              <w:t>Воспроизводится с точностью до 2 строк</w:t>
            </w:r>
          </w:p>
        </w:tc>
      </w:tr>
      <w:tr>
        <w:tc>
          <w:tcPr>
            <w:tcW w:type="dxa" w:w="3324"/>
          </w:tcPr>
          <w:p>
            <w:r>
              <w:t>Срез ≈ 2 097 диалогов (Продуктовое предложение)</w:t>
            </w:r>
          </w:p>
        </w:tc>
        <w:tc>
          <w:tcPr>
            <w:tcW w:type="dxa" w:w="3324"/>
          </w:tcPr>
          <w:p>
            <w:r>
              <w:t>Да, но переименовать</w:t>
            </w:r>
          </w:p>
        </w:tc>
        <w:tc>
          <w:tcPr>
            <w:tcW w:type="dxa" w:w="3324"/>
          </w:tcPr>
          <w:p>
            <w:r>
              <w:t>Точно совпадает с фильтром по типу задачи; «исходящих» — некорректное название</w:t>
            </w:r>
          </w:p>
        </w:tc>
      </w:tr>
      <w:tr>
        <w:tc>
          <w:tcPr>
            <w:tcW w:type="dxa" w:w="3324"/>
          </w:tcPr>
          <w:p>
            <w:r>
              <w:t>Доля автоответов / односторонних ≈ 18%</w:t>
            </w:r>
          </w:p>
        </w:tc>
        <w:tc>
          <w:tcPr>
            <w:tcW w:type="dxa" w:w="3324"/>
          </w:tcPr>
          <w:p>
            <w:r>
              <w:t>Скорее да, как порядок</w:t>
            </w:r>
          </w:p>
        </w:tc>
        <w:tc>
          <w:tcPr>
            <w:tcW w:type="dxa" w:w="3324"/>
          </w:tcPr>
          <w:p>
            <w:r>
              <w:t>Близко к реальности, но методика разметки нестрогая</w:t>
            </w:r>
          </w:p>
        </w:tc>
      </w:tr>
      <w:tr>
        <w:tc>
          <w:tcPr>
            <w:tcW w:type="dxa" w:w="3324"/>
          </w:tcPr>
          <w:p>
            <w:r>
              <w:t>Качественные паттерны переходов между этапами диалога</w:t>
            </w:r>
          </w:p>
        </w:tc>
        <w:tc>
          <w:tcPr>
            <w:tcW w:type="dxa" w:w="3324"/>
          </w:tcPr>
          <w:p>
            <w:r>
              <w:t>Скорее да, как гипотезы</w:t>
            </w:r>
          </w:p>
        </w:tc>
        <w:tc>
          <w:tcPr>
            <w:tcW w:type="dxa" w:w="3324"/>
          </w:tcPr>
          <w:p>
            <w:r>
              <w:t>Конкретные числа переходов требуют валидации, но направление наблюдений — рабочее</w:t>
            </w:r>
          </w:p>
        </w:tc>
      </w:tr>
      <w:tr>
        <w:tc>
          <w:tcPr>
            <w:tcW w:type="dxa" w:w="3324"/>
          </w:tcPr>
          <w:p>
            <w:r>
              <w:t>«919 перезвонов / 456 отказов / 220 согласий»</w:t>
            </w:r>
          </w:p>
        </w:tc>
        <w:tc>
          <w:tcPr>
            <w:tcW w:type="dxa" w:w="3324"/>
          </w:tcPr>
          <w:p>
            <w:r>
              <w:t>Нет, как точную воронку</w:t>
            </w:r>
          </w:p>
        </w:tc>
        <w:tc>
          <w:tcPr>
            <w:tcW w:type="dxa" w:w="3324"/>
          </w:tcPr>
          <w:p>
            <w:r>
              <w:t>Это LLM-разметка событий в тексте, а не CRM-исходы. Используйте как обозначение силы каждого паттерна, не как метрику</w:t>
            </w:r>
          </w:p>
        </w:tc>
      </w:tr>
      <w:tr>
        <w:tc>
          <w:tcPr>
            <w:tcW w:type="dxa" w:w="3324"/>
          </w:tcPr>
          <w:p>
            <w:r>
              <w:t>Конверсия в Согласие ≈ 13% в продаже</w:t>
            </w:r>
          </w:p>
        </w:tc>
        <w:tc>
          <w:tcPr>
            <w:tcW w:type="dxa" w:w="3324"/>
          </w:tcPr>
          <w:p>
            <w:r>
              <w:t>Скорее да, как порядок</w:t>
            </w:r>
          </w:p>
        </w:tc>
        <w:tc>
          <w:tcPr>
            <w:tcW w:type="dxa" w:w="3324"/>
          </w:tcPr>
          <w:p>
            <w:r>
              <w:t>Близко по порядку к реальной CRM-конверсии product-offer (~14%); как качественный ориентир — годится</w:t>
            </w:r>
          </w:p>
        </w:tc>
      </w:tr>
      <w:tr>
        <w:tc>
          <w:tcPr>
            <w:tcW w:type="dxa" w:w="3324"/>
          </w:tcPr>
          <w:p>
            <w:r>
              <w:t>Таблица типовых интервалов перезвона</w:t>
            </w:r>
          </w:p>
        </w:tc>
        <w:tc>
          <w:tcPr>
            <w:tcW w:type="dxa" w:w="3324"/>
          </w:tcPr>
          <w:p>
            <w:r>
              <w:t>Да</w:t>
            </w:r>
          </w:p>
        </w:tc>
        <w:tc>
          <w:tcPr>
            <w:tcW w:type="dxa" w:w="3324"/>
          </w:tcPr>
          <w:p>
            <w:r>
              <w:t>Качественно полезная разбивка; точные числа не критичны</w:t>
            </w:r>
          </w:p>
        </w:tc>
      </w:tr>
      <w:tr>
        <w:tc>
          <w:tcPr>
            <w:tcW w:type="dxa" w:w="3324"/>
          </w:tcPr>
          <w:p>
            <w:r>
              <w:t>Наблюдение «согласие ≠ оформление»</w:t>
            </w:r>
          </w:p>
        </w:tc>
        <w:tc>
          <w:tcPr>
            <w:tcW w:type="dxa" w:w="3324"/>
          </w:tcPr>
          <w:p>
            <w:r>
              <w:t>Да</w:t>
            </w:r>
          </w:p>
        </w:tc>
        <w:tc>
          <w:tcPr>
            <w:tcW w:type="dxa" w:w="3324"/>
          </w:tcPr>
          <w:p>
            <w:r>
              <w:t>Содержательно верно и подтверждается на данных</w:t>
            </w:r>
          </w:p>
        </w:tc>
      </w:tr>
      <w:tr>
        <w:tc>
          <w:tcPr>
            <w:tcW w:type="dxa" w:w="3324"/>
          </w:tcPr>
          <w:p>
            <w:r>
              <w:t>Наблюдение «явный негатив крайне редок»</w:t>
            </w:r>
          </w:p>
        </w:tc>
        <w:tc>
          <w:tcPr>
            <w:tcW w:type="dxa" w:w="3324"/>
          </w:tcPr>
          <w:p>
            <w:r>
              <w:t>Да</w:t>
            </w:r>
          </w:p>
        </w:tc>
        <w:tc>
          <w:tcPr>
            <w:tcW w:type="dxa" w:w="3324"/>
          </w:tcPr>
          <w:p>
            <w:r>
              <w:t>Действительно почти нет — порядок единиц на корпус</w:t>
            </w:r>
          </w:p>
        </w:tc>
      </w:tr>
    </w:tbl>
    <w:p>
      <w:pPr>
        <w:pStyle w:val="Heading1"/>
      </w:pPr>
      <w:r>
        <w:t>7. Ответы на вопросы из конца письма Кости</w:t>
      </w:r>
    </w:p>
    <w:p>
      <w:r>
        <w:rPr>
          <w:b w:val="0"/>
          <w:i/>
        </w:rPr>
        <w:t>В письме фиксируются три вопроса. По ним есть конкретные предложения.</w:t>
      </w:r>
    </w:p>
    <w:p>
      <w:r>
        <w:rPr>
          <w:b/>
          <w:i w:val="0"/>
        </w:rPr>
        <w:t>Вопрос 1. Кто сможет точечно провалидировать файл с диалогами и выводы по нему?</w:t>
      </w:r>
    </w:p>
    <w:p>
      <w:r>
        <w:rPr>
          <w:b w:val="0"/>
          <w:i w:val="0"/>
        </w:rPr>
        <w:t>Самый практичный путь — выбрать стратифицированную выборку из 30–50 диалогов (по 3–5 на каждый этап разметки) и пройти её вручную с продуктовым специалистом. Это даёт оценку precision разметки и одновременно поднимает кейсы, где LLM ошибается. Дополнительно — взять второй LLM-проход через другую модель и сравнить разметку: совпадение по большинству этапов должно быть выше 80%, иначе текущая разметка ненадёжна.</w:t>
      </w:r>
    </w:p>
    <w:p>
      <w:r>
        <w:rPr>
          <w:b/>
          <w:i w:val="0"/>
        </w:rPr>
        <w:t>Вопрос 2. Кто может помочь провалидировать вопросы, которые задаются по продукту?</w:t>
      </w:r>
    </w:p>
    <w:p>
      <w:r>
        <w:rPr>
          <w:b w:val="0"/>
          <w:i w:val="0"/>
        </w:rPr>
        <w:t>Здесь нужен продуктовый владелец зарплатного проекта (или его представитель). Логично разбить работу на три прохода: (1) очистить questions.txt от непрофильных тем (≈ 50% объёма уйдёт); (2) собрать оставшиеся вопросы в кластеры по теме (комиссии, карты, тарифы, токен, СберБизнес-навигация, …); (3) по каждому кластеру продуктовый владелец фиксирует канонический ответ. На выходе получается основа FAQ бота. Лучше двигаться итеративно: сначала топ-10 самых частых вопросов, потом расширение.</w:t>
      </w:r>
    </w:p>
    <w:p>
      <w:r>
        <w:rPr>
          <w:b/>
          <w:i w:val="0"/>
        </w:rPr>
        <w:t>Вопрос 3. Что такое реестр? Токен? Лимит?</w:t>
      </w:r>
    </w:p>
    <w:p>
      <w:r>
        <w:rPr>
          <w:b w:val="0"/>
          <w:i w:val="0"/>
        </w:rPr>
        <w:t>Это профильные термины ЗПП:</w:t>
      </w:r>
    </w:p>
    <w:p>
      <w:pPr>
        <w:pStyle w:val="ListBullet"/>
      </w:pPr>
      <w:r>
        <w:t>Реестр — это файл/набор данных, которым работодатель передаёт в банк список сотрудников и сумм к выплате. По нему банк распределяет деньги на карты сотрудников. У клиента это часто формулируется как «загрузить реестр» / «сформировать ведомость».</w:t>
      </w:r>
    </w:p>
    <w:p>
      <w:pPr>
        <w:pStyle w:val="ListBullet"/>
      </w:pPr>
      <w:r>
        <w:t>Токен — средство электронной подписи или носитель ключа для подтверждения операций в СберБизнес. Выдаётся через офис банка по регламенту (в письме Кости видна реплика «с понедельника по пятницу с … до …»). Точные правила выдачи и применения лучше подтвердить у продуктового владельца.</w:t>
      </w:r>
    </w:p>
    <w:p>
      <w:pPr>
        <w:pStyle w:val="ListBullet"/>
      </w:pPr>
      <w:r>
        <w:t>Лимит — лимит на сумму или количество операций определённого вида (например, лимит переводов физлицам в рамках тарифа). Превышение часто приводит к комиссии или блокировке операций.</w:t>
      </w:r>
    </w:p>
    <w:p>
      <w:r>
        <w:rPr>
          <w:b w:val="0"/>
          <w:i/>
        </w:rPr>
        <w:t>Эти определения нужны не только Косте, но и боту в его базе знаний. Если бот будет уверенно оперировать понятиями «реестр», «токен», «лимит» — это сразу выделит его на фоне общих ботов.</w:t>
      </w:r>
    </w:p>
    <w:p>
      <w:pPr>
        <w:pStyle w:val="Heading1"/>
      </w:pPr>
      <w:r>
        <w:t>8. Что предлагается дальше</w:t>
      </w:r>
    </w:p>
    <w:p>
      <w:pPr>
        <w:pStyle w:val="ListBullet"/>
      </w:pPr>
      <w:r>
        <w:t>Переименовать в письме «исходящих» на «диалоги с типом задачи Продуктовое предложение» — это бесплатное улучшение точности.</w:t>
      </w:r>
    </w:p>
    <w:p>
      <w:pPr>
        <w:pStyle w:val="ListBullet"/>
      </w:pPr>
      <w:r>
        <w:t>Везде, где речь о «перезвоне/отказе/согласии», явно проговорить, что это LLM-разметка событий в тексте, и не сопоставлять её 1:1 с CRM-исходом. Где возможно — добавить рядом CRM-цифру для контекста.</w:t>
      </w:r>
    </w:p>
    <w:p>
      <w:pPr>
        <w:pStyle w:val="ListBullet"/>
      </w:pPr>
      <w:r>
        <w:t>По questions.txt — выгрузить файл, расщепить на три корзины (валидные / пограничные / непрофильные), на топ-10 валидных вопросов сделать первую итерацию FAQ.</w:t>
      </w:r>
    </w:p>
    <w:p>
      <w:pPr>
        <w:pStyle w:val="ListBullet"/>
      </w:pPr>
      <w:r>
        <w:t>По графу этапов — зафиксировать методику разметки (или код, или промпт LLM с примерами), прогнать её на отложенной выборке 50 диалогов с ручной валидацией. После этого граф можно превращать в материал для продуктовых решений (сценарии бота, обучение менеджеров).</w:t>
      </w:r>
    </w:p>
    <w:p>
      <w:pPr>
        <w:pStyle w:val="ListBullet"/>
      </w:pPr>
      <w:r>
        <w:t>В следующей итерации (Костя сам это анонсирует) посмотреть на успешные кейсы продажи — очень полезный фокус. Сюда же логично добавить отдельный слой по возражениям, как Костя и предлагает.</w:t>
      </w:r>
    </w:p>
    <w:p>
      <w:pPr>
        <w:pStyle w:val="Heading1"/>
      </w:pPr>
      <w:r>
        <w:t>9. Итог</w:t>
      </w:r>
    </w:p>
    <w:p>
      <w:r>
        <w:rPr>
          <w:b w:val="0"/>
          <w:i w:val="0"/>
        </w:rPr>
        <w:t>Письмо Кости — это полезная exploratory-аналитика на ранней стадии. После сверки с фактическими датами и типами задач видно, что выбор выборки правильный, базовые числа воспроизводятся. Главные правки касаются не самих цифр, а их интерпретации: «исходящих» нужно переименовать в «product-offer срез», а «перезвон/отказ/согласие» — это LLM-разметка событий, не CRM-воронка.</w:t>
      </w:r>
    </w:p>
    <w:p>
      <w:r>
        <w:rPr>
          <w:b w:val="0"/>
          <w:i w:val="0"/>
        </w:rPr>
        <w:t>Граф этапов и наблюдение про разницу «согласие ≠ оформление» — содержательно важные находки, которые стоит сохранить и развить. Таблица интервалов перезвона прямо применима в дизайне бота. Файл questions.txt — полезное сырьё для FAQ, но требует ручной чистки от непрофильных тем.</w:t>
      </w:r>
    </w:p>
    <w:p>
      <w:r>
        <w:rPr>
          <w:b w:val="0"/>
          <w:i/>
        </w:rPr>
        <w:t>Если коротко: материал берём в работу как карту вех диалога и источник гипотез, цифровые выводы по «перезвон/отказ/согласие» переформулируем, а questions.txt отправляем на этап продуктовой валидации.</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