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Fonts w:ascii="Open Sans" w:cs="Open Sans" w:eastAsia="Open Sans" w:hAnsi="Open Sans"/>
          <w:color w:val="ba3925"/>
          <w:sz w:val="41"/>
          <w:szCs w:val="41"/>
          <w:rtl w:val="0"/>
        </w:rPr>
        <w:t xml:space="preserve">Pregunta 1 (5 puntos)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Desarrollar un product backlog que contemple 5 historias de usuario. Cada historia de usuario debe estar nombrada utilizando el formato Connextra así como especificada utilizando el lenguaje Gherkin.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Feature: Como participante poder ser organizador para poder reservar una cancha con anticipación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Scenario: Reserva de cancha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Given Haberse logeado en el sistema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And Haber seleccionado la opción de reservar cancha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Se tendrá la reserva planificada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Scenario: Canchas llenas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Given Haberse logeado en el sistema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And Haber seleccionado la opción de reservar cancha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But se tengan 10 reservas confirmadas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no se podrá reservar 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Feature: Como participante poder inscribirme en alguna reserva de cancha para poder organizarme con tiempo 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Scenario: Inscripción de jugadores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Given Haberse logeado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And Haber seleccionado ver reservas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When el participante decida qué modalidad desea inscribirse la seleccione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el participante quedará inscrito en la lista de reserva y será notificado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Scenario: Lista de inscripción llena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Given haberse logeado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And Haber seleccionado ver reservas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When el participante decida qué modalidad desea inscribirse la seleccione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But esté llena y lo inscriban la la otra modalidad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el participante estará inscrito en otra modalidad en la lista de reserva y será notificado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Feature: Como organizador se desea confirmar la reserva para poder realizar el respectivo pago para jugar 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Scenario: Confirmación de reserva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Given Haberse logeado en el sistema 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And Haber seleccionado la opción de confirmar reservas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When todos los participantes potenciales confirmen su inscripción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el organizador podrá ver la lista de jugadores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And podrá pagar la reserva por diferentes modalidades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tendrá la reserva confirmada y los jugadores seran notificados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Feature: Como organizador cancelar las reservas para poder tener el tiempo organizado de realizar otras actividades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Given Haberse logeado en el sistema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And Haber seleccionado ver reservas de cancha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But cancelar la propia reserva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se cancelará la reserva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se notificará a los jugadores inscritos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Feature: Como administrador deseo organizar las reservas para poder ahorrar espacio en reservas caducadas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Scenario:Confirmación de reservas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Given Haberse logeado en el sistema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And verificar que reservas confirmadas se han caducado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se remueve las reservas caducadas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Then se tiene solo las reservas vigentes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bookmarkStart w:colFirst="0" w:colLast="0" w:name="_gjdgxs" w:id="0"/>
      <w:bookmarkEnd w:id="0"/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a3925"/>
          <w:sz w:val="41"/>
          <w:szCs w:val="41"/>
          <w:rtl w:val="0"/>
        </w:rPr>
        <w:t xml:space="preserve">Pregunta 2 (5 puntos)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Desarrollar el modelo de dominio del problema. Debe contar con todas las entidades pertenecientes al dominio del problema.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Fonts w:ascii="Open Sans" w:cs="Open Sans" w:eastAsia="Open Sans" w:hAnsi="Open Sans"/>
          <w:color w:val="ba3925"/>
          <w:sz w:val="41"/>
          <w:szCs w:val="41"/>
        </w:rPr>
        <w:drawing>
          <wp:inline distB="114300" distT="114300" distL="114300" distR="114300">
            <wp:extent cx="5372100" cy="28384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Fonts w:ascii="Open Sans" w:cs="Open Sans" w:eastAsia="Open Sans" w:hAnsi="Open Sans"/>
          <w:color w:val="ba3925"/>
          <w:sz w:val="41"/>
          <w:szCs w:val="41"/>
          <w:rtl w:val="0"/>
        </w:rPr>
        <w:t xml:space="preserve">Pregunta 3 (5 puntos)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Desarrollar un diagrama de caso de uso que contemple 5 casos de uso. Estos casos de uso deben tener su especificación.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Ingresar a pantalla Login</w:t>
      </w:r>
    </w:p>
    <w:tbl>
      <w:tblPr>
        <w:tblStyle w:val="Table1"/>
        <w:tblW w:w="88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5865"/>
        <w:tblGridChange w:id="0">
          <w:tblGrid>
            <w:gridCol w:w="3000"/>
            <w:gridCol w:w="586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Usuario, organizador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Que el usuario se loguee de manera correcta al sistema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usuario ingresará las credenciales en el aplicativo para que pueda empezar a utilizar el sistema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usuario puede ingresar al aplicativo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usuario debe ingresar sin problemas al sistema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Vital, sin este paso, no se puede empezar a usar el aplicativo</w:t>
            </w:r>
          </w:p>
        </w:tc>
      </w:tr>
    </w:tbl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Inscribirse en un partido</w:t>
      </w:r>
    </w:p>
    <w:tbl>
      <w:tblPr>
        <w:tblStyle w:val="Table2"/>
        <w:tblW w:w="88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5865"/>
        <w:tblGridChange w:id="0">
          <w:tblGrid>
            <w:gridCol w:w="3000"/>
            <w:gridCol w:w="586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Que el usuario (no organizador) sea considerado para ser parte de un partido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Después de haber decidido no ser organizador y jugar, el usuario elige un partido que desea jugar, el sistema confirma que el usuario no estaba inscrito en otro partido y lo agrega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usuario debe estar logueado y no debe ser organizador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usuario ya está inscrito y listo para jugar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Importante, sirve para que el usuario juegue un partido</w:t>
            </w:r>
          </w:p>
        </w:tc>
      </w:tr>
    </w:tbl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Elegir modalidad</w:t>
      </w:r>
    </w:p>
    <w:tbl>
      <w:tblPr>
        <w:tblStyle w:val="Table3"/>
        <w:tblW w:w="88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5865"/>
        <w:tblGridChange w:id="0">
          <w:tblGrid>
            <w:gridCol w:w="3000"/>
            <w:gridCol w:w="586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Que el usuario jugador decida sobre qué tipo de modalidad jugará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usuario se encuentra en el interfaz de jugador y elige una modalidad de juego (1) Estándar o (2) Solidaria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jugador está logueado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jugador está listo para jugar depende de la modalidad elegida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Importante, pero el usuario puede jugar elija una modalidad o no</w:t>
            </w:r>
          </w:p>
        </w:tc>
      </w:tr>
    </w:tbl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Confirmar la reserva</w:t>
      </w:r>
    </w:p>
    <w:tbl>
      <w:tblPr>
        <w:tblStyle w:val="Table4"/>
        <w:tblW w:w="88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5865"/>
        <w:tblGridChange w:id="0">
          <w:tblGrid>
            <w:gridCol w:w="3000"/>
            <w:gridCol w:w="586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Organizador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Que el organizador diga si un o unos usuario(s) están logueado e inscritos para que luego elijan una modalidad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organizador notifica a los usuarios que están dentro de los juegos para que puedan empezar a jugar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Los jugadores ya están dentro de un juego, si no, no se puede confirmar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Los jugadores están disponibles para jugar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Vital, solo con este paso, los jugadores pueden empezar un partido</w:t>
            </w:r>
          </w:p>
        </w:tc>
      </w:tr>
    </w:tbl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Cerrar la inscripción</w:t>
      </w:r>
    </w:p>
    <w:tbl>
      <w:tblPr>
        <w:tblStyle w:val="Table5"/>
        <w:tblW w:w="88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5865"/>
        <w:tblGridChange w:id="0">
          <w:tblGrid>
            <w:gridCol w:w="3000"/>
            <w:gridCol w:w="586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Organizador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Que los usuarios estén listos para salir a jugar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organizador acepta las características del sistema y los jugadores salen al partido siguiendo las instrucciones de cada modalidad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El organizador debe haber confirmado el proceso de inscripción de cada usuario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Los jugadores están listos para salir a un partido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  <w:rPr>
                <w:rFonts w:ascii="inherit" w:cs="inherit" w:eastAsia="inherit" w:hAnsi="inherit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sz w:val="24"/>
                <w:szCs w:val="24"/>
                <w:rtl w:val="0"/>
              </w:rPr>
              <w:t xml:space="preserve">Vital, así, los usuarios empiezan a aplicar cualquiera de las modalidades</w:t>
            </w:r>
          </w:p>
        </w:tc>
      </w:tr>
    </w:tbl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20" w:before="240" w:lineRule="auto"/>
        <w:contextualSpacing w:val="0"/>
        <w:rPr>
          <w:rFonts w:ascii="Open Sans" w:cs="Open Sans" w:eastAsia="Open Sans" w:hAnsi="Open Sans"/>
          <w:color w:val="ba3925"/>
          <w:sz w:val="41"/>
          <w:szCs w:val="41"/>
        </w:rPr>
      </w:pPr>
      <w:r w:rsidDel="00000000" w:rsidR="00000000" w:rsidRPr="00000000">
        <w:rPr>
          <w:rFonts w:ascii="Open Sans" w:cs="Open Sans" w:eastAsia="Open Sans" w:hAnsi="Open Sans"/>
          <w:color w:val="ba3925"/>
          <w:sz w:val="41"/>
          <w:szCs w:val="41"/>
          <w:rtl w:val="0"/>
        </w:rPr>
        <w:t xml:space="preserve">Pregunta 4 (5 puntos)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Desarrollar un diagrama de robustez por cada caso de uso.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Ingresar a pantalla Login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Inscribirse en un partido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Elegir modalidad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Confirmar la reserva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Cerrar la inscripción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inherit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2" Type="http://schemas.openxmlformats.org/officeDocument/2006/relationships/image" Target="media/image13.png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