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MemoryLifeBench — Defense Q&amp;A Prep</w:t>
      </w:r>
    </w:p>
    <w:p>
      <w:pPr>
        <w:spacing w:after="160"/>
      </w:pPr>
      <w:r>
        <w:rPr>
          <w:b/>
        </w:rPr>
        <w:t>Purpose:</w:t>
      </w:r>
      <w:r>
        <w:t xml:space="preserve"> Rehearsal material for your professor's defense and technical interviews. Every answer is short enough to say out loud in 20–40 seconds, and grounded in your own numbers so you're never reciting something you can't back up if pushed further.</w:t>
      </w:r>
    </w:p>
    <w:p>
      <w:pPr>
        <w:spacing w:after="160"/>
      </w:pPr>
      <w:r>
        <w:rPr>
          <w:b/>
        </w:rPr>
        <w:t>How to use this:</w:t>
      </w:r>
      <w:r>
        <w:t xml:space="preserve"> Read a question, answer it out loud from memory, then check against the written answer. Don't memorize the answer text verbatim — memorize the </w:t>
      </w:r>
      <w:r>
        <w:rPr>
          <w:i/>
        </w:rPr>
        <w:t>shape</w:t>
      </w:r>
      <w:r>
        <w:t xml:space="preserve"> of the answer (the 2–3 facts it leans on), so a rephrased version of the question doesn't throw you.</w:t>
      </w:r>
    </w:p>
    <w:p>
      <w:pPr>
        <w:spacing w:after="160"/>
      </w:pPr>
      <w:r>
        <w:t>---</w:t>
      </w:r>
    </w:p>
    <w:p>
      <w:pPr>
        <w:pStyle w:val="Heading1"/>
      </w:pPr>
      <w:r>
        <w:t>0. Authorship and process — if it comes up</w:t>
      </w:r>
    </w:p>
    <w:p>
      <w:pPr>
        <w:spacing w:after="160"/>
      </w:pPr>
      <w:r>
        <w:rPr>
          <w:b/>
        </w:rPr>
        <w:t>Q: How much of this did you actually write yourself?</w:t>
      </w:r>
    </w:p>
    <w:p>
      <w:pPr>
        <w:spacing w:after="160"/>
        <w:ind w:left="504"/>
      </w:pPr>
      <w:r>
        <w:rPr>
          <w:i/>
          <w:color w:val="2B2B2B"/>
          <w:sz w:val="23"/>
        </w:rPr>
        <w:t>"Claude wrote most of the implementation code and ran the experiments — that's disclosed in Appendix B and in every git commit. My contribution was direction: I set the research question, made the calls that shaped which results exist at all — for example, choosing to run the downstream QA test that contradicted my own headline ranking result instead of stopping at the ranking metric, and insisting every negative or non-significant result get reported plainly instead of reframed. I can explain and defend every number in this paper because I made the decisions that produced them, not because I typed every line."</w:t>
      </w:r>
    </w:p>
    <w:p>
      <w:pPr>
        <w:spacing w:after="160"/>
      </w:pPr>
      <w:r>
        <w:rPr>
          <w:b/>
        </w:rPr>
        <w:t>Q: Why should this count as your work?</w:t>
      </w:r>
    </w:p>
    <w:p>
      <w:pPr>
        <w:spacing w:after="160"/>
        <w:ind w:left="504"/>
      </w:pPr>
      <w:r>
        <w:rPr>
          <w:i/>
          <w:color w:val="2B2B2B"/>
          <w:sz w:val="23"/>
        </w:rPr>
        <w:t xml:space="preserve">"The same way a wet-lab PI's work counts even though a technician runs the assay, or a PI's grad student runs the GPU jobs — the intellectual contribution is the research design, the interpretation, and the judgment calls, not keystrokes. What would make it </w:t>
      </w:r>
      <w:r>
        <w:rPr>
          <w:i/>
          <w:color w:val="2B2B2B"/>
          <w:sz w:val="23"/>
        </w:rPr>
        <w:t>not</w:t>
      </w:r>
      <w:r>
        <w:rPr>
          <w:i/>
          <w:color w:val="2B2B2B"/>
          <w:sz w:val="23"/>
        </w:rPr>
        <w:t xml:space="preserve"> count as my work is if I couldn't explain why a result happened, or didn't know what a number meant. I can do that for every claim in this paper."</w:t>
      </w:r>
    </w:p>
    <w:p>
      <w:pPr>
        <w:spacing w:after="160"/>
      </w:pPr>
      <w:r>
        <w:rPr>
          <w:b/>
        </w:rPr>
        <w:t>Q: What was a decision that was actually yours, not the tool's?</w:t>
      </w:r>
    </w:p>
    <w:p>
      <w:pPr>
        <w:spacing w:after="160"/>
        <w:ind w:left="504"/>
      </w:pPr>
      <w:r>
        <w:rPr>
          <w:i/>
          <w:color w:val="2B2B2B"/>
          <w:sz w:val="23"/>
        </w:rPr>
        <w:t xml:space="preserve">Have 2–3 ready, genuinely true ones: choosing to build a real (not simulated) Mem0 comparison despite the cost; deciding to pivot to a free local-LLM substitution rather than skip the baseline when the real cost came back at $62; insisting the paper report </w:t>
      </w:r>
      <w:r>
        <w:rPr>
          <w:rFonts w:ascii="Consolas" w:hAnsi="Consolas"/>
          <w:i/>
          <w:color w:val="2B2B2B"/>
          <w:sz w:val="23"/>
        </w:rPr>
        <w:t>ours_utility</w:t>
      </w:r>
      <w:r>
        <w:rPr>
          <w:i/>
          <w:color w:val="2B2B2B"/>
          <w:sz w:val="23"/>
        </w:rPr>
        <w:t xml:space="preserve"> vs. </w:t>
      </w:r>
      <w:r>
        <w:rPr>
          <w:rFonts w:ascii="Consolas" w:hAnsi="Consolas"/>
          <w:i/>
          <w:color w:val="2B2B2B"/>
          <w:sz w:val="23"/>
        </w:rPr>
        <w:t>lru</w:t>
      </w:r>
      <w:r>
        <w:rPr>
          <w:i/>
          <w:color w:val="2B2B2B"/>
          <w:sz w:val="23"/>
        </w:rPr>
        <w:t xml:space="preserve"> as </w:t>
      </w:r>
      <w:r>
        <w:rPr>
          <w:i/>
          <w:color w:val="2B2B2B"/>
          <w:sz w:val="23"/>
        </w:rPr>
        <w:t>not</w:t>
      </w:r>
      <w:r>
        <w:rPr>
          <w:i/>
          <w:color w:val="2B2B2B"/>
          <w:sz w:val="23"/>
        </w:rPr>
        <w:t xml:space="preserve"> significant rather than only citing the free-diagnostic sweep that looked stronger. These are documented in your own conversation history and in the paper's honest framing — use them.</w:t>
      </w:r>
    </w:p>
    <w:p>
      <w:pPr>
        <w:spacing w:after="160"/>
      </w:pPr>
      <w:r>
        <w:t>---</w:t>
      </w:r>
    </w:p>
    <w:p>
      <w:pPr>
        <w:pStyle w:val="Heading1"/>
      </w:pPr>
      <w:r>
        <w:t>1. Survival Analysis / Cox Proportional Hazards</w:t>
      </w:r>
    </w:p>
    <w:p>
      <w:pPr>
        <w:spacing w:after="160"/>
      </w:pPr>
      <w:r>
        <w:t>This is the paper's central framing — expect the most questions here.</w:t>
      </w:r>
    </w:p>
    <w:p>
      <w:pPr>
        <w:spacing w:after="160"/>
      </w:pPr>
      <w:r>
        <w:rPr>
          <w:b/>
        </w:rPr>
        <w:t>Q: Why frame this as survival analysis instead of classification or regression?</w:t>
      </w:r>
    </w:p>
    <w:p>
      <w:pPr>
        <w:spacing w:after="160"/>
        <w:ind w:left="504"/>
      </w:pPr>
      <w:r>
        <w:rPr>
          <w:i/>
          <w:color w:val="2B2B2B"/>
          <w:sz w:val="23"/>
        </w:rPr>
        <w:t xml:space="preserve">"Classification (‘is this memory important, yes/no’) throws away </w:t>
      </w:r>
      <w:r>
        <w:rPr>
          <w:i/>
          <w:color w:val="2B2B2B"/>
          <w:sz w:val="23"/>
        </w:rPr>
        <w:t>when</w:t>
      </w:r>
      <w:r>
        <w:rPr>
          <w:i/>
          <w:color w:val="2B2B2B"/>
          <w:sz w:val="23"/>
        </w:rPr>
        <w:t>. Regression on a raw duration doesn't handle the common case where we never observe the memory's actual death within our data window. Survival analysis is built exactly for that: it has a native, principled way to use partially-observed durations — censoring — instead of discarding them or treating them as a wrong label."</w:t>
      </w:r>
    </w:p>
    <w:p>
      <w:pPr>
        <w:spacing w:after="160"/>
      </w:pPr>
      <w:r>
        <w:rPr>
          <w:b/>
        </w:rPr>
        <w:t>Q: What is censoring, and what censoring cases do you use?</w:t>
      </w:r>
    </w:p>
    <w:p>
      <w:pPr>
        <w:spacing w:after="160"/>
        <w:ind w:left="504"/>
      </w:pPr>
      <w:r>
        <w:rPr>
          <w:i/>
          <w:color w:val="2B2B2B"/>
          <w:sz w:val="23"/>
        </w:rPr>
        <w:t>"A record is censored when we don't observe the event — the memory being invalidated or superseded — within our data window. We have three cases: (1) the event is actually observed, so duration is exact; (2) for synthetic data, censored records have scheduled probe questions, so duration is time-to-last-probe; (3) for real conversations with no probes, duration is time-to-last-observed-timestamp in that conversation — an administrative censoring proxy, which I flag as a judgment call, not a ground truth, because there's no alternative in the source data."</w:t>
      </w:r>
    </w:p>
    <w:p>
      <w:pPr>
        <w:spacing w:after="160"/>
      </w:pPr>
      <w:r>
        <w:rPr>
          <w:b/>
        </w:rPr>
        <w:t>Q: Explain the hazard function and survival function in your model.</w:t>
      </w:r>
    </w:p>
    <w:p>
      <w:pPr>
        <w:spacing w:after="160"/>
        <w:ind w:left="504"/>
      </w:pPr>
      <w:r>
        <w:rPr>
          <w:i/>
          <w:color w:val="2B2B2B"/>
          <w:sz w:val="23"/>
        </w:rPr>
        <w:t>"</w:t>
      </w:r>
      <w:r>
        <w:rPr>
          <w:rFonts w:ascii="Consolas" w:hAnsi="Consolas"/>
          <w:i/>
          <w:color w:val="2B2B2B"/>
          <w:sz w:val="23"/>
        </w:rPr>
        <w:t>h(t|z) = h₀(t)·exp(f(z))</w:t>
      </w:r>
      <w:r>
        <w:rPr>
          <w:i/>
          <w:color w:val="2B2B2B"/>
          <w:sz w:val="23"/>
        </w:rPr>
        <w:t xml:space="preserve"> — a baseline hazard shared by everyone, scaled up or down per-record by </w:t>
      </w:r>
      <w:r>
        <w:rPr>
          <w:rFonts w:ascii="Consolas" w:hAnsi="Consolas"/>
          <w:i/>
          <w:color w:val="2B2B2B"/>
          <w:sz w:val="23"/>
        </w:rPr>
        <w:t>exp(f(z))</w:t>
      </w:r>
      <w:r>
        <w:rPr>
          <w:i/>
          <w:color w:val="2B2B2B"/>
          <w:sz w:val="23"/>
        </w:rPr>
        <w:t xml:space="preserve">, where </w:t>
      </w:r>
      <w:r>
        <w:rPr>
          <w:rFonts w:ascii="Consolas" w:hAnsi="Consolas"/>
          <w:i/>
          <w:color w:val="2B2B2B"/>
          <w:sz w:val="23"/>
        </w:rPr>
        <w:t>f</w:t>
      </w:r>
      <w:r>
        <w:rPr>
          <w:i/>
          <w:color w:val="2B2B2B"/>
          <w:sz w:val="23"/>
        </w:rPr>
        <w:t xml:space="preserve"> is the only learned part, a scalar risk score from the MLP. </w:t>
      </w:r>
      <w:r>
        <w:rPr>
          <w:rFonts w:ascii="Consolas" w:hAnsi="Consolas"/>
          <w:i/>
          <w:color w:val="2B2B2B"/>
          <w:sz w:val="23"/>
        </w:rPr>
        <w:t>S(t|z)</w:t>
      </w:r>
      <w:r>
        <w:rPr>
          <w:i/>
          <w:color w:val="2B2B2B"/>
          <w:sz w:val="23"/>
        </w:rPr>
        <w:t xml:space="preserve">, the survival function, is just the probability of not having 'died' by time </w:t>
      </w:r>
      <w:r>
        <w:rPr>
          <w:rFonts w:ascii="Consolas" w:hAnsi="Consolas"/>
          <w:i/>
          <w:color w:val="2B2B2B"/>
          <w:sz w:val="23"/>
        </w:rPr>
        <w:t>t</w:t>
      </w:r>
      <w:r>
        <w:rPr>
          <w:i/>
          <w:color w:val="2B2B2B"/>
          <w:sz w:val="23"/>
        </w:rPr>
        <w:t xml:space="preserve">, and it's </w:t>
      </w:r>
      <w:r>
        <w:rPr>
          <w:rFonts w:ascii="Consolas" w:hAnsi="Consolas"/>
          <w:i/>
          <w:color w:val="2B2B2B"/>
          <w:sz w:val="23"/>
        </w:rPr>
        <w:t>S₀(t)</w:t>
      </w:r>
      <w:r>
        <w:rPr>
          <w:i/>
          <w:color w:val="2B2B2B"/>
          <w:sz w:val="23"/>
        </w:rPr>
        <w:t xml:space="preserve"> raised to the power </w:t>
      </w:r>
      <w:r>
        <w:rPr>
          <w:rFonts w:ascii="Consolas" w:hAnsi="Consolas"/>
          <w:i/>
          <w:color w:val="2B2B2B"/>
          <w:sz w:val="23"/>
        </w:rPr>
        <w:t>exp(f(z))</w:t>
      </w:r>
      <w:r>
        <w:rPr>
          <w:i/>
          <w:color w:val="2B2B2B"/>
          <w:sz w:val="23"/>
        </w:rPr>
        <w:t xml:space="preserve"> — higher risk score means the survival curve drops faster."</w:t>
      </w:r>
    </w:p>
    <w:p>
      <w:pPr>
        <w:spacing w:after="160"/>
      </w:pPr>
      <w:r>
        <w:rPr>
          <w:b/>
        </w:rPr>
        <w:t>Q: Why 'proportional hazards' specifically — what's the assumption?</w:t>
      </w:r>
    </w:p>
    <w:p>
      <w:pPr>
        <w:spacing w:after="160"/>
        <w:ind w:left="504"/>
      </w:pPr>
      <w:r>
        <w:rPr>
          <w:i/>
          <w:color w:val="2B2B2B"/>
          <w:sz w:val="23"/>
        </w:rPr>
        <w:t xml:space="preserve">"The assumption is that a record's covariates scale the hazard by a constant multiplicative factor over time — the </w:t>
      </w:r>
      <w:r>
        <w:rPr>
          <w:i/>
          <w:color w:val="2B2B2B"/>
          <w:sz w:val="23"/>
        </w:rPr>
        <w:t>shape</w:t>
      </w:r>
      <w:r>
        <w:rPr>
          <w:i/>
          <w:color w:val="2B2B2B"/>
          <w:sz w:val="23"/>
        </w:rPr>
        <w:t xml:space="preserve"> of the hazard curve over time is the same for everyone, only the height differs. That's what lets the baseline </w:t>
      </w:r>
      <w:r>
        <w:rPr>
          <w:rFonts w:ascii="Consolas" w:hAnsi="Consolas"/>
          <w:i/>
          <w:color w:val="2B2B2B"/>
          <w:sz w:val="23"/>
        </w:rPr>
        <w:t>h₀(t)</w:t>
      </w:r>
      <w:r>
        <w:rPr>
          <w:i/>
          <w:color w:val="2B2B2B"/>
          <w:sz w:val="23"/>
        </w:rPr>
        <w:t xml:space="preserve"> cancel out of the partial likelihood entirely, which is the whole trick that makes Cox regression tractable without ever having to model the baseline explicitly."</w:t>
      </w:r>
    </w:p>
    <w:p>
      <w:pPr>
        <w:spacing w:after="160"/>
      </w:pPr>
      <w:r>
        <w:rPr>
          <w:b/>
        </w:rPr>
        <w:t>Q: What is the partial likelihood, and why not full likelihood?</w:t>
      </w:r>
    </w:p>
    <w:p>
      <w:pPr>
        <w:spacing w:after="160"/>
        <w:ind w:left="504"/>
      </w:pPr>
      <w:r>
        <w:rPr>
          <w:i/>
          <w:color w:val="2B2B2B"/>
          <w:sz w:val="23"/>
        </w:rPr>
        <w:t xml:space="preserve">"At each observed event time, the partial likelihood compares the risk score of the record that actually had the event against every record still 'at risk' — still uncensored and alive — at that time. It only uses the </w:t>
      </w:r>
      <w:r>
        <w:rPr>
          <w:i/>
          <w:color w:val="2B2B2B"/>
          <w:sz w:val="23"/>
        </w:rPr>
        <w:t>ranking</w:t>
      </w:r>
      <w:r>
        <w:rPr>
          <w:i/>
          <w:color w:val="2B2B2B"/>
          <w:sz w:val="23"/>
        </w:rPr>
        <w:t xml:space="preserve"> of risk scores, not the baseline hazard, so you don't need to estimate </w:t>
      </w:r>
      <w:r>
        <w:rPr>
          <w:rFonts w:ascii="Consolas" w:hAnsi="Consolas"/>
          <w:i/>
          <w:color w:val="2B2B2B"/>
          <w:sz w:val="23"/>
        </w:rPr>
        <w:t>h₀(t)</w:t>
      </w:r>
      <w:r>
        <w:rPr>
          <w:i/>
          <w:color w:val="2B2B2B"/>
          <w:sz w:val="23"/>
        </w:rPr>
        <w:t xml:space="preserve"> to fit </w:t>
      </w:r>
      <w:r>
        <w:rPr>
          <w:rFonts w:ascii="Consolas" w:hAnsi="Consolas"/>
          <w:i/>
          <w:color w:val="2B2B2B"/>
          <w:sz w:val="23"/>
        </w:rPr>
        <w:t>f</w:t>
      </w:r>
      <w:r>
        <w:rPr>
          <w:i/>
          <w:color w:val="2B2B2B"/>
          <w:sz w:val="23"/>
        </w:rPr>
        <w:t>. The baseline is estimated afterward, non-parametrically, from the training set."</w:t>
      </w:r>
    </w:p>
    <w:p>
      <w:pPr>
        <w:spacing w:after="160"/>
      </w:pPr>
      <w:r>
        <w:rPr>
          <w:b/>
        </w:rPr>
        <w:t>Q: What is the C-index, and what does it NOT tell you?</w:t>
      </w:r>
    </w:p>
    <w:p>
      <w:pPr>
        <w:spacing w:after="160"/>
        <w:ind w:left="504"/>
      </w:pPr>
      <w:r>
        <w:rPr>
          <w:i/>
          <w:color w:val="2B2B2B"/>
          <w:sz w:val="23"/>
        </w:rPr>
        <w:t xml:space="preserve">"It's the fraction of comparable pairs — one record's event happening before another's, with the earlier one actually observed — that the model ranks in the correct order. It's rank-only and invariant to monotonic rescaling of the risk score. What it does </w:t>
      </w:r>
      <w:r>
        <w:rPr>
          <w:i/>
          <w:color w:val="2B2B2B"/>
          <w:sz w:val="23"/>
        </w:rPr>
        <w:t>not</w:t>
      </w:r>
      <w:r>
        <w:rPr>
          <w:i/>
          <w:color w:val="2B2B2B"/>
          <w:sz w:val="23"/>
        </w:rPr>
        <w:t xml:space="preserve"> tell you: whether any specific absolute cutoff you draw on the survival curve is well-calibrated. That's exactly the gap that caused my downstream policy to fail — a model can have an excellent C-index and still get an absolute threshold badly wrong, because C-index structurally never checks that."</w:t>
      </w:r>
    </w:p>
    <w:p>
      <w:pPr>
        <w:spacing w:after="160"/>
      </w:pPr>
      <w:r>
        <w:rPr>
          <w:b/>
        </w:rPr>
        <w:t>Q: What's the difference between discrimination and calibration, and why does it matter here?</w:t>
      </w:r>
    </w:p>
    <w:p>
      <w:pPr>
        <w:spacing w:after="160"/>
        <w:ind w:left="504"/>
      </w:pPr>
      <w:r>
        <w:rPr>
          <w:i/>
          <w:color w:val="2B2B2B"/>
          <w:sz w:val="23"/>
        </w:rPr>
        <w:t>"Discrimination is 'does the model rank things correctly relative to each other' — that's what C-index measures. Calibration is 'do the model's absolute probability estimates match reality' — e.g., does S(t)=0.5 really mean a 50% survival chance. My model had excellent discrimination (0.72 C-index) but a miscalibrated absolute threshold: the median-based TTL cutoff undershot the actual evidence-needed duration by about 50 days on average. High discrimination, bad calibration — a distinction the survival literature is well aware of but that prior LLM-memory papers don't discuss."</w:t>
      </w:r>
    </w:p>
    <w:p>
      <w:pPr>
        <w:spacing w:after="160"/>
      </w:pPr>
      <w:r>
        <w:rPr>
          <w:b/>
        </w:rPr>
        <w:t>Q: Why cap the quantile TTL at 3,650 days?</w:t>
      </w:r>
    </w:p>
    <w:p>
      <w:pPr>
        <w:spacing w:after="160"/>
        <w:ind w:left="504"/>
      </w:pPr>
      <w:r>
        <w:rPr>
          <w:i/>
          <w:color w:val="2B2B2B"/>
          <w:sz w:val="23"/>
        </w:rPr>
        <w:t>"Some survival curves never drop below a high quantile within any realistic horizon — a record with a very high survival probability essentially never triggers eviction under a strict cutoff. Capping at 3,650 days (about 10 years) is a practical numerical bound rather than letting the value go to infinity, without changing behavior for any record that actually matters at deployment timescales."</w:t>
      </w:r>
    </w:p>
    <w:p>
      <w:pPr>
        <w:spacing w:after="160"/>
      </w:pPr>
      <w:r>
        <w:t>---</w:t>
      </w:r>
    </w:p>
    <w:p>
      <w:pPr>
        <w:pStyle w:val="Heading1"/>
      </w:pPr>
      <w:r>
        <w:t>2. PyTorch &amp; Deep Learning Fundamentals</w:t>
      </w:r>
    </w:p>
    <w:p>
      <w:pPr>
        <w:spacing w:after="160"/>
      </w:pPr>
      <w:r>
        <w:rPr>
          <w:b/>
        </w:rPr>
        <w:t>Q: Walk me through your model architecture.</w:t>
      </w:r>
    </w:p>
    <w:p>
      <w:pPr>
        <w:spacing w:after="160"/>
        <w:ind w:left="504"/>
      </w:pPr>
      <w:r>
        <w:rPr>
          <w:i/>
          <w:color w:val="2B2B2B"/>
          <w:sz w:val="23"/>
        </w:rPr>
        <w:t>"Single-task: a frozen 768-dimensional BGE sentence embedding feeds a small MLP — 213,889 parameters — that outputs one scalar, the log hazard, trained with Cox partial-likelihood loss. Joint model: the same embedding is concatenated with six frozen auxiliary feature vectors — intent, entities, temporal, emotion, novelty, contradiction — about 433 million frozen parameters combined but only used for a single forward pass each, no generation. That fused vector feeds three heads sharing one representation: Lifetime (same Cox loss), Action (4-way classification), Future-Utility (binary). Total trainable parameters: 425,734."</w:t>
      </w:r>
    </w:p>
    <w:p>
      <w:pPr>
        <w:spacing w:after="160"/>
      </w:pPr>
      <w:r>
        <w:rPr>
          <w:b/>
        </w:rPr>
        <w:t>Q: Why frozen embeddings instead of fine-tuning?</w:t>
      </w:r>
    </w:p>
    <w:p>
      <w:pPr>
        <w:spacing w:after="160"/>
        <w:ind w:left="504"/>
      </w:pPr>
      <w:r>
        <w:rPr>
          <w:i/>
          <w:color w:val="2B2B2B"/>
          <w:sz w:val="23"/>
        </w:rPr>
        <w:t>"Cost, determinism, and dataset size. Fine-tuning a 768-d transformer on ~8,300 training records risks overfitting badly, and it would cost far more compute for a small, single-signal task. Freezing keeps the embedding deterministic and cheap, and lets a tiny MLP do the actual learning — which is also why the whole pipeline costs zero tokens at inference."</w:t>
      </w:r>
    </w:p>
    <w:p>
      <w:pPr>
        <w:spacing w:after="160"/>
      </w:pPr>
      <w:r>
        <w:rPr>
          <w:b/>
        </w:rPr>
        <w:t>Q: Why did you write a custom training loop instead of using pycox's built-in fit wrapper?</w:t>
      </w:r>
    </w:p>
    <w:p>
      <w:pPr>
        <w:spacing w:after="160"/>
        <w:ind w:left="504"/>
      </w:pPr>
      <w:r>
        <w:rPr>
          <w:i/>
          <w:color w:val="2B2B2B"/>
          <w:sz w:val="23"/>
        </w:rPr>
        <w:t>"</w:t>
      </w:r>
      <w:r>
        <w:rPr>
          <w:rFonts w:ascii="Consolas" w:hAnsi="Consolas"/>
          <w:i/>
          <w:color w:val="2B2B2B"/>
          <w:sz w:val="23"/>
        </w:rPr>
        <w:t>pycox</w:t>
      </w:r>
      <w:r>
        <w:rPr>
          <w:i/>
          <w:color w:val="2B2B2B"/>
          <w:sz w:val="23"/>
        </w:rPr>
        <w:t xml:space="preserve">'s wrapper is single-task — it can only optimize one Cox loss. The joint model needs to backpropagate three losses (Cox, cross-entropy, binary cross-entropy) through one shared fused representation simultaneously, so the heads' gradients all flow back into the same fusion layer. That requires a custom loop where I combine the three losses before calling </w:t>
      </w:r>
      <w:r>
        <w:rPr>
          <w:rFonts w:ascii="Consolas" w:hAnsi="Consolas"/>
          <w:i/>
          <w:color w:val="2B2B2B"/>
          <w:sz w:val="23"/>
        </w:rPr>
        <w:t>.backward()</w:t>
      </w:r>
      <w:r>
        <w:rPr>
          <w:i/>
          <w:color w:val="2B2B2B"/>
          <w:sz w:val="23"/>
        </w:rPr>
        <w:t xml:space="preserve">, which </w:t>
      </w:r>
      <w:r>
        <w:rPr>
          <w:rFonts w:ascii="Consolas" w:hAnsi="Consolas"/>
          <w:i/>
          <w:color w:val="2B2B2B"/>
          <w:sz w:val="23"/>
        </w:rPr>
        <w:t>pycox</w:t>
      </w:r>
      <w:r>
        <w:rPr>
          <w:i/>
          <w:color w:val="2B2B2B"/>
          <w:sz w:val="23"/>
        </w:rPr>
        <w:t>'s wrapper has no hook for."</w:t>
      </w:r>
    </w:p>
    <w:p>
      <w:pPr>
        <w:spacing w:after="160"/>
      </w:pPr>
      <w:r>
        <w:rPr>
          <w:b/>
        </w:rPr>
        <w:t>Q: Why does the Action head use inverse-frequency class weighting, and what's the tradeoff?</w:t>
      </w:r>
    </w:p>
    <w:p>
      <w:pPr>
        <w:spacing w:after="160"/>
        <w:ind w:left="504"/>
      </w:pPr>
      <w:r>
        <w:rPr>
          <w:i/>
          <w:color w:val="2B2B2B"/>
          <w:sz w:val="23"/>
        </w:rPr>
        <w:t>"The classes are heavily imbalanced — store is common, update/merge/forget are rare. Inverse-frequency weighting penalizes missing a rare class much more than a false positive on it. The result: recall is exactly 1.000 on all three minority classes across every checkpoint — the model never misses a true forget/update/merge — at the cost of precision dropping to 0.41–0.69, meaning it over-flags some records that should've stayed 'store'. That's a deliberate operating point: for a memory system, a missed forget is worse than an extra review flag."</w:t>
      </w:r>
    </w:p>
    <w:p>
      <w:pPr>
        <w:spacing w:after="160"/>
      </w:pPr>
      <w:r>
        <w:rPr>
          <w:b/>
        </w:rPr>
        <w:t>Q: What does 'concat fusion beat gated fusion' mean, and why might that be?</w:t>
      </w:r>
    </w:p>
    <w:p>
      <w:pPr>
        <w:spacing w:after="160"/>
        <w:ind w:left="504"/>
      </w:pPr>
      <w:r>
        <w:rPr>
          <w:i/>
          <w:color w:val="2B2B2B"/>
          <w:sz w:val="23"/>
        </w:rPr>
        <w:t xml:space="preserve">"Concat fusion just concatenates the embedding and the six feature vectors into one long vector before the MLP; gated fusion learns weights to scale each input's contribution before combining. Gated is more expressive — more parameters, more flexibility — but concat scored higher (0.7553 ± 0.0045 vs. 0.7304 ± 0.0082) with a </w:t>
      </w:r>
      <w:r>
        <w:rPr>
          <w:i/>
          <w:color w:val="2B2B2B"/>
          <w:sz w:val="23"/>
        </w:rPr>
        <w:t>tighter</w:t>
      </w:r>
      <w:r>
        <w:rPr>
          <w:i/>
          <w:color w:val="2B2B2B"/>
          <w:sz w:val="23"/>
        </w:rPr>
        <w:t xml:space="preserve"> seed spread. My working explanation, stated as a hypothesis not a proven fact: gated fusion has more capacity to overfit at this dataset's ~8.3K-record training scale. I don't over-claim this — I report it and move on rather than inventing a bigger story."</w:t>
      </w:r>
    </w:p>
    <w:p>
      <w:pPr>
        <w:spacing w:after="160"/>
      </w:pPr>
      <w:r>
        <w:rPr>
          <w:b/>
        </w:rPr>
        <w:t>Q: How do you know your result isn't a lucky single run?</w:t>
      </w:r>
    </w:p>
    <w:p>
      <w:pPr>
        <w:spacing w:after="160"/>
        <w:ind w:left="504"/>
      </w:pPr>
      <w:r>
        <w:rPr>
          <w:i/>
          <w:color w:val="2B2B2B"/>
          <w:sz w:val="23"/>
        </w:rPr>
        <w:t>"Five-seed stability testing: 0.7312 ± 0.0131 on test, 0.7237 ± 0.0063 on validation. Low variance across seeds, not cherry-picked. Same discipline for the joint model across three seeds."</w:t>
      </w:r>
    </w:p>
    <w:p>
      <w:pPr>
        <w:spacing w:after="160"/>
      </w:pPr>
      <w:r>
        <w:t>---</w:t>
      </w:r>
    </w:p>
    <w:p>
      <w:pPr>
        <w:pStyle w:val="Heading1"/>
      </w:pPr>
      <w:r>
        <w:t>3. Embeddings &amp; Transformers</w:t>
      </w:r>
    </w:p>
    <w:p>
      <w:pPr>
        <w:spacing w:after="160"/>
      </w:pPr>
      <w:r>
        <w:rPr>
          <w:b/>
        </w:rPr>
        <w:t>Q: What is a transformer, at a conceptual level?</w:t>
      </w:r>
    </w:p>
    <w:p>
      <w:pPr>
        <w:spacing w:after="160"/>
        <w:ind w:left="504"/>
      </w:pPr>
      <w:r>
        <w:rPr>
          <w:i/>
          <w:color w:val="2B2B2B"/>
          <w:sz w:val="23"/>
        </w:rPr>
        <w:t>"A neural network architecture built around self-attention: for every token, it computes a weighted combination of every other token's representation, where the weights are learned and depend on content, not just position. That lets it capture long-range dependencies without the sequential bottleneck of RNNs, and it's the backbone of essentially every model in this paper — both the embedding model and the LLM baselines."</w:t>
      </w:r>
    </w:p>
    <w:p>
      <w:pPr>
        <w:spacing w:after="160"/>
      </w:pPr>
      <w:r>
        <w:rPr>
          <w:b/>
        </w:rPr>
        <w:t>Q: What's the difference between BGE (your embedder) and GPT-4o/Gemini/Qwen (your baselines)?</w:t>
      </w:r>
    </w:p>
    <w:p>
      <w:pPr>
        <w:spacing w:after="160"/>
        <w:ind w:left="504"/>
      </w:pPr>
      <w:r>
        <w:rPr>
          <w:i/>
          <w:color w:val="2B2B2B"/>
          <w:sz w:val="23"/>
        </w:rPr>
        <w:t>"BGE is an encoder-only transformer fine-tuned specifically to produce a fixed-size sentence embedding — one forward pass, one vector out, no generation. GPT-4o, Gemini, and Qwen are autoregressive decoder models — they generate tokens one at a time, conditioned on everything generated so far. That's why my own pipeline costs zero tokens (one embedding pass, no generation) while every LLM baseline has real, metered API cost."</w:t>
      </w:r>
    </w:p>
    <w:p>
      <w:pPr>
        <w:spacing w:after="160"/>
      </w:pPr>
      <w:r>
        <w:rPr>
          <w:b/>
        </w:rPr>
        <w:t>Q: Why does encoder size (BGE-base vs. BGE-large) barely matter here?</w:t>
      </w:r>
    </w:p>
    <w:p>
      <w:pPr>
        <w:spacing w:after="160"/>
        <w:ind w:left="504"/>
      </w:pPr>
      <w:r>
        <w:rPr>
          <w:i/>
          <w:color w:val="2B2B2B"/>
          <w:sz w:val="23"/>
        </w:rPr>
        <w:t>"The ablation showed 0.7382 ± 0.0048 (large) vs. 0.7312 ± 0.0131 (base) — overlapping within noise. My interpretation: the bottleneck isn't embedding expressiveness, it's the small MLP and the ~8K-record training set. A bigger embedding wouldn't fix a downstream capacity or data-scale limit."</w:t>
      </w:r>
    </w:p>
    <w:p>
      <w:pPr>
        <w:spacing w:after="160"/>
      </w:pPr>
      <w:r>
        <w:rPr>
          <w:b/>
        </w:rPr>
        <w:t>Q: What is attention, briefly, and why do embeddings from an attention-based model work well for a task like this?</w:t>
      </w:r>
    </w:p>
    <w:p>
      <w:pPr>
        <w:spacing w:after="160"/>
        <w:ind w:left="504"/>
      </w:pPr>
      <w:r>
        <w:rPr>
          <w:i/>
          <w:color w:val="2B2B2B"/>
          <w:sz w:val="23"/>
        </w:rPr>
        <w:t xml:space="preserve">"Attention lets each token's representation incorporate context from the whole input, so 'the flight is next Tuesday' and 'my flight got moved to Tuesday' end up with related embeddings even though the wording differs. That's useful here because MemoryLifeBench's ranking task depends on the </w:t>
      </w:r>
      <w:r>
        <w:rPr>
          <w:i/>
          <w:color w:val="2B2B2B"/>
          <w:sz w:val="23"/>
        </w:rPr>
        <w:t>meaning</w:t>
      </w:r>
      <w:r>
        <w:rPr>
          <w:i/>
          <w:color w:val="2B2B2B"/>
          <w:sz w:val="23"/>
        </w:rPr>
        <w:t xml:space="preserve"> of a memory statement, not surface wording — the paraphrase-determinism test (Section 5.2) is a direct check of exactly this: our downstream MLP is deterministic on paraphrases because the embedding itself is stable."</w:t>
      </w:r>
    </w:p>
    <w:p>
      <w:pPr>
        <w:spacing w:after="160"/>
      </w:pPr>
      <w:r>
        <w:t>---</w:t>
      </w:r>
    </w:p>
    <w:p>
      <w:pPr>
        <w:pStyle w:val="Heading1"/>
      </w:pPr>
      <w:r>
        <w:t>4. LLMs as Baselines and as Tools</w:t>
      </w:r>
    </w:p>
    <w:p>
      <w:pPr>
        <w:spacing w:after="160"/>
      </w:pPr>
      <w:r>
        <w:rPr>
          <w:b/>
        </w:rPr>
        <w:t>Q: Why is the same prompt used for all three LLM-prompted-TTL baselines?</w:t>
      </w:r>
    </w:p>
    <w:p>
      <w:pPr>
        <w:spacing w:after="160"/>
        <w:ind w:left="504"/>
      </w:pPr>
      <w:r>
        <w:rPr>
          <w:i/>
          <w:color w:val="2B2B2B"/>
          <w:sz w:val="23"/>
        </w:rPr>
        <w:t>"So the only variable being compared is the model itself. If GPT-4o had a more carefully engineered prompt than Qwen, a win wouldn't tell you anything about model capability versus prompt quality. Identical prompt, identical task, only the model differs — that's a controlled comparison."</w:t>
      </w:r>
    </w:p>
    <w:p>
      <w:pPr>
        <w:spacing w:after="160"/>
      </w:pPr>
      <w:r>
        <w:rPr>
          <w:b/>
        </w:rPr>
        <w:t>Q: Why does your model beat prompting frontier LLMs directly for a TTL estimate?</w:t>
      </w:r>
    </w:p>
    <w:p>
      <w:pPr>
        <w:spacing w:after="160"/>
        <w:ind w:left="504"/>
      </w:pPr>
      <w:r>
        <w:rPr>
          <w:i/>
          <w:color w:val="2B2B2B"/>
          <w:sz w:val="23"/>
        </w:rPr>
        <w:t>"Two separate things going on. One, LLMs aren't trained on a signal that maps text to calibrated durations — asking them to estimate 'how many days will this stay relevant' is an out-of-distribution ask with no grounding, so their point estimates end up close to a heuristic guess. Two, and this is the more interesting one: they're not deterministic. The same fact, reworded, produces different guesses — GPT-4o's coefficient of variation was 0.38, Qwen's was 0.75 — while my model gives the identical answer every time because it's a fixed function of a stable embedding."</w:t>
      </w:r>
    </w:p>
    <w:p>
      <w:pPr>
        <w:spacing w:after="160"/>
      </w:pPr>
      <w:r>
        <w:rPr>
          <w:b/>
        </w:rPr>
        <w:t>Q: What is the LLM-judge, and why do you need it if you already have EM/F1?</w:t>
      </w:r>
    </w:p>
    <w:p>
      <w:pPr>
        <w:spacing w:after="160"/>
        <w:ind w:left="504"/>
      </w:pPr>
      <w:r>
        <w:rPr>
          <w:i/>
          <w:color w:val="2B2B2B"/>
          <w:sz w:val="23"/>
        </w:rPr>
        <w:t xml:space="preserve">"Exact match and F1 penalize any answer that isn't worded like the reference, even if it's substantively correct — e.g., 'January 19th, 2023' vs. '2023-01-19'. The judge (GPT-4o graded by meaning, not wording) recovered 22.1% of predictions that EM marked wrong but were actually right. It's not a replacement for EM/F1 — it's a cross-check, and I explicitly note it's </w:t>
      </w:r>
      <w:r>
        <w:rPr>
          <w:i/>
          <w:color w:val="2B2B2B"/>
          <w:sz w:val="23"/>
        </w:rPr>
        <w:t>not</w:t>
      </w:r>
      <w:r>
        <w:rPr>
          <w:i/>
          <w:color w:val="2B2B2B"/>
          <w:sz w:val="23"/>
        </w:rPr>
        <w:t xml:space="preserve"> yet bootstrap-tested the way EM/F1 is, so I don't over-claim it."</w:t>
      </w:r>
    </w:p>
    <w:p>
      <w:pPr>
        <w:spacing w:after="160"/>
      </w:pPr>
      <w:r>
        <w:rPr>
          <w:b/>
        </w:rPr>
        <w:t>Q: Isn't using GPT-4o to grade GPT-4o's own answers circular?</w:t>
      </w:r>
    </w:p>
    <w:p>
      <w:pPr>
        <w:spacing w:after="160"/>
        <w:ind w:left="504"/>
      </w:pPr>
      <w:r>
        <w:rPr>
          <w:i/>
          <w:color w:val="2B2B2B"/>
          <w:sz w:val="23"/>
        </w:rPr>
        <w:t>"It's a fair concern, which is why I don't rely on the judge alone anywhere in the paper — every judge-based claim is cross-checked against EM, F1, and BLEU-1, and where they might disagree I flag it directly. Section 6.9 actually surfaces a specific case where the judge itself looks wrong — grading 'three years' as equivalent to '2019' when the judge prompt never sees timestamps — I report that rather than hide it, precisely because I take the circularity concern seriously."</w:t>
      </w:r>
    </w:p>
    <w:p>
      <w:pPr>
        <w:spacing w:after="160"/>
      </w:pPr>
      <w:r>
        <w:t>---</w:t>
      </w:r>
    </w:p>
    <w:p>
      <w:pPr>
        <w:pStyle w:val="Heading1"/>
      </w:pPr>
      <w:r>
        <w:t>5. Statistics You're Leaning On</w:t>
      </w:r>
    </w:p>
    <w:p>
      <w:pPr>
        <w:spacing w:after="160"/>
      </w:pPr>
      <w:r>
        <w:rPr>
          <w:b/>
        </w:rPr>
        <w:t>Q: What is bootstrap resampling, and why use it instead of just reporting the difference in means?</w:t>
      </w:r>
    </w:p>
    <w:p>
      <w:pPr>
        <w:spacing w:after="160"/>
        <w:ind w:left="504"/>
      </w:pPr>
      <w:r>
        <w:rPr>
          <w:i/>
          <w:color w:val="2B2B2B"/>
          <w:sz w:val="23"/>
        </w:rPr>
        <w:t>"Raw means can look different by chance on a small sample. Bootstrap resampling draws thousands of resamples (10,000 here) with replacement from your paired data, recomputes the statistic each time, and gives you a distribution — from which you read a confidence interval and a p-value. It tells you whether an observed difference is likely to hold up, not just what it happened to be on this one sample."</w:t>
      </w:r>
    </w:p>
    <w:p>
      <w:pPr>
        <w:spacing w:after="160"/>
      </w:pPr>
      <w:r>
        <w:rPr>
          <w:b/>
        </w:rPr>
        <w:t>Q: Why 'paired' bootstrap specifically?</w:t>
      </w:r>
    </w:p>
    <w:p>
      <w:pPr>
        <w:spacing w:after="160"/>
        <w:ind w:left="504"/>
      </w:pPr>
      <w:r>
        <w:rPr>
          <w:i/>
          <w:color w:val="2B2B2B"/>
          <w:sz w:val="23"/>
        </w:rPr>
        <w:t>"Because the same question is answered by every policy, resampling should keep each question's set of answers together — resample questions, not individual (policy, answer) pairs independently — so you're not accidentally comparing different question mixes between policies. That's what 'paired on (conversation_id, question)' means in the paper."</w:t>
      </w:r>
    </w:p>
    <w:p>
      <w:pPr>
        <w:spacing w:after="160"/>
      </w:pPr>
      <w:r>
        <w:rPr>
          <w:b/>
        </w:rPr>
        <w:t>Q: What does p=0.367 mean in plain terms, and what does it NOT mean?</w:t>
      </w:r>
    </w:p>
    <w:p>
      <w:pPr>
        <w:spacing w:after="160"/>
        <w:ind w:left="504"/>
      </w:pPr>
      <w:r>
        <w:rPr>
          <w:i/>
          <w:color w:val="2B2B2B"/>
          <w:sz w:val="23"/>
        </w:rPr>
        <w:t xml:space="preserve">"It means: under a paired bootstrap resample, the observed advantage for </w:t>
      </w:r>
      <w:r>
        <w:rPr>
          <w:rFonts w:ascii="Consolas" w:hAnsi="Consolas"/>
          <w:i/>
          <w:color w:val="2B2B2B"/>
          <w:sz w:val="23"/>
        </w:rPr>
        <w:t>ours_utility</w:t>
      </w:r>
      <w:r>
        <w:rPr>
          <w:i/>
          <w:color w:val="2B2B2B"/>
          <w:sz w:val="23"/>
        </w:rPr>
        <w:t xml:space="preserve"> over </w:t>
      </w:r>
      <w:r>
        <w:rPr>
          <w:rFonts w:ascii="Consolas" w:hAnsi="Consolas"/>
          <w:i/>
          <w:color w:val="2B2B2B"/>
          <w:sz w:val="23"/>
        </w:rPr>
        <w:t>lru</w:t>
      </w:r>
      <w:r>
        <w:rPr>
          <w:i/>
          <w:color w:val="2B2B2B"/>
          <w:sz w:val="23"/>
        </w:rPr>
        <w:t xml:space="preserve"> isn't reliably distinguishable from noise at n=120 — about 37% of resamples don't show </w:t>
      </w:r>
      <w:r>
        <w:rPr>
          <w:rFonts w:ascii="Consolas" w:hAnsi="Consolas"/>
          <w:i/>
          <w:color w:val="2B2B2B"/>
          <w:sz w:val="23"/>
        </w:rPr>
        <w:t>ours_utility</w:t>
      </w:r>
      <w:r>
        <w:rPr>
          <w:i/>
          <w:color w:val="2B2B2B"/>
          <w:sz w:val="23"/>
        </w:rPr>
        <w:t xml:space="preserve"> ahead. It does </w:t>
      </w:r>
      <w:r>
        <w:rPr>
          <w:i/>
          <w:color w:val="2B2B2B"/>
          <w:sz w:val="23"/>
        </w:rPr>
        <w:t>not</w:t>
      </w:r>
      <w:r>
        <w:rPr>
          <w:i/>
          <w:color w:val="2B2B2B"/>
          <w:sz w:val="23"/>
        </w:rPr>
        <w:t xml:space="preserve"> mean there's no real effect — it means this sample size can't confirm one. The free-diagnostic sweep and the mechanistic AUC check both point the same direction; I just don't have enough real, expensively-scored questions yet to call it statistically confirmed."</w:t>
      </w:r>
    </w:p>
    <w:p>
      <w:pPr>
        <w:spacing w:after="160"/>
      </w:pPr>
      <w:r>
        <w:rPr>
          <w:b/>
        </w:rPr>
        <w:t>Q: What's a 95% confidence interval, intuitively?</w:t>
      </w:r>
    </w:p>
    <w:p>
      <w:pPr>
        <w:spacing w:after="160"/>
        <w:ind w:left="504"/>
      </w:pPr>
      <w:r>
        <w:rPr>
          <w:i/>
          <w:color w:val="2B2B2B"/>
          <w:sz w:val="23"/>
        </w:rPr>
        <w:t>"The range that would contain the true effect in 95% of resamples of this kind. A CI like [+0.0167, +0.0917] that doesn't cross zero is another way of saying 'significant, and here's the plausible range of how large the real effect might be' — not just a single p-value."</w:t>
      </w:r>
    </w:p>
    <w:p>
      <w:pPr>
        <w:spacing w:after="160"/>
      </w:pPr>
      <w:r>
        <w:rPr>
          <w:b/>
        </w:rPr>
        <w:t>Q: What's AUC, outside of survival analysis — where else do you use it, and why?</w:t>
      </w:r>
    </w:p>
    <w:p>
      <w:pPr>
        <w:spacing w:after="160"/>
        <w:ind w:left="504"/>
      </w:pPr>
      <w:r>
        <w:rPr>
          <w:i/>
          <w:color w:val="2B2B2B"/>
          <w:sz w:val="23"/>
        </w:rPr>
        <w:t xml:space="preserve">"AUC (area under the ROC curve) measures how well a score separates positive from negative cases across every possible threshold. I use it twice outside the Lifetime head: for the Future-Utility head's own evaluation (0.71–0.77), and for the mechanistic check in Section 6.7 — testing whether </w:t>
      </w:r>
      <w:r>
        <w:rPr>
          <w:rFonts w:ascii="Consolas" w:hAnsi="Consolas"/>
          <w:i/>
          <w:color w:val="2B2B2B"/>
          <w:sz w:val="23"/>
        </w:rPr>
        <w:t>utility_prob</w:t>
      </w:r>
      <w:r>
        <w:rPr>
          <w:i/>
          <w:color w:val="2B2B2B"/>
          <w:sz w:val="23"/>
        </w:rPr>
        <w:t xml:space="preserve"> and </w:t>
      </w:r>
      <w:r>
        <w:rPr>
          <w:rFonts w:ascii="Consolas" w:hAnsi="Consolas"/>
          <w:i/>
          <w:color w:val="2B2B2B"/>
          <w:sz w:val="23"/>
        </w:rPr>
        <w:t>predicted_ttl_days</w:t>
      </w:r>
      <w:r>
        <w:rPr>
          <w:i/>
          <w:color w:val="2B2B2B"/>
          <w:sz w:val="23"/>
        </w:rPr>
        <w:t xml:space="preserve"> actually predict real QA-evidence relevance. That second use is what gives a causal explanation for why the eviction fix works: utility_prob scores 0.67 (genuinely predictive), predicted_ttl scores 0.29 (worse than random — inversely correlated)."</w:t>
      </w:r>
    </w:p>
    <w:p>
      <w:pPr>
        <w:spacing w:after="160"/>
      </w:pPr>
      <w:r>
        <w:rPr>
          <w:b/>
        </w:rPr>
        <w:t>Q: Precision vs. recall — explain with your Action head example.</w:t>
      </w:r>
    </w:p>
    <w:p>
      <w:pPr>
        <w:spacing w:after="160"/>
        <w:ind w:left="504"/>
      </w:pPr>
      <w:r>
        <w:rPr>
          <w:i/>
          <w:color w:val="2B2B2B"/>
          <w:sz w:val="23"/>
        </w:rPr>
        <w:t xml:space="preserve">"Recall: of all the records that truly needed a forget/update/merge label, what fraction did the model catch? That's 1.000 here — it never misses one. Precision: of all the records the model </w:t>
      </w:r>
      <w:r>
        <w:rPr>
          <w:i/>
          <w:color w:val="2B2B2B"/>
          <w:sz w:val="23"/>
        </w:rPr>
        <w:t>labeled</w:t>
      </w:r>
      <w:r>
        <w:rPr>
          <w:i/>
          <w:color w:val="2B2B2B"/>
          <w:sz w:val="23"/>
        </w:rPr>
        <w:t xml:space="preserve"> forget/update/merge, what fraction were actually correct? That's 0.41–0.69 — some 'store' records get over-flagged. High recall, moderate precision is a deliberate tradeoff from the class weighting, appropriate because in this context a missed forget is worse than a false alarm."</w:t>
      </w:r>
    </w:p>
    <w:p>
      <w:pPr>
        <w:spacing w:after="160"/>
      </w:pPr>
      <w:r>
        <w:t>---</w:t>
      </w:r>
    </w:p>
    <w:p>
      <w:pPr>
        <w:pStyle w:val="Heading1"/>
      </w:pPr>
      <w:r>
        <w:t>6. Retrieval / Memory-System Concepts</w:t>
      </w:r>
    </w:p>
    <w:p>
      <w:pPr>
        <w:spacing w:after="160"/>
      </w:pPr>
      <w:r>
        <w:rPr>
          <w:b/>
        </w:rPr>
        <w:t>Q: What's the difference between eviction policy and retrieval quality, and why do you separate them?</w:t>
      </w:r>
    </w:p>
    <w:p>
      <w:pPr>
        <w:spacing w:after="160"/>
        <w:ind w:left="504"/>
      </w:pPr>
      <w:r>
        <w:rPr>
          <w:i/>
          <w:color w:val="2B2B2B"/>
          <w:sz w:val="23"/>
        </w:rPr>
        <w:t xml:space="preserve">"Eviction policy decides what stays in storage at all. Retrieval decides, among what's stored, what the model actually gets shown — usually capped at some top-K. Section 6.14 shows these are genuinely separate bottlenecks: even </w:t>
      </w:r>
      <w:r>
        <w:rPr>
          <w:rFonts w:ascii="Consolas" w:hAnsi="Consolas"/>
          <w:i/>
          <w:color w:val="2B2B2B"/>
          <w:sz w:val="23"/>
        </w:rPr>
        <w:t>no_forget</w:t>
      </w:r>
      <w:r>
        <w:rPr>
          <w:i/>
          <w:color w:val="2B2B2B"/>
          <w:sz w:val="23"/>
        </w:rPr>
        <w:t>, which evicts nothing, is still significantly beaten by an Oracle that skips retrieval noise entirely (given only the correct evidence). So a perfect eviction policy still can't close a retrieval-quality gap — they're orthogonal problems, and I say directly that this paper only addresses the first one."</w:t>
      </w:r>
    </w:p>
    <w:p>
      <w:pPr>
        <w:spacing w:after="160"/>
      </w:pPr>
      <w:r>
        <w:rPr>
          <w:b/>
        </w:rPr>
        <w:t>Q: What is Mem0, and why compare against it instead of just your own ablations?</w:t>
      </w:r>
    </w:p>
    <w:p>
      <w:pPr>
        <w:spacing w:after="160"/>
        <w:ind w:left="504"/>
      </w:pPr>
      <w:r>
        <w:rPr>
          <w:i/>
          <w:color w:val="2B2B2B"/>
          <w:sz w:val="23"/>
        </w:rPr>
        <w:t xml:space="preserve">"Mem0 is a real, independently built, open-source memory system with its own extraction and consolidation pipeline — not a strawman I control. Comparing internal ablations only tells you which of </w:t>
      </w:r>
      <w:r>
        <w:rPr>
          <w:i/>
          <w:color w:val="2B2B2B"/>
          <w:sz w:val="23"/>
        </w:rPr>
        <w:t>your own</w:t>
      </w:r>
      <w:r>
        <w:rPr>
          <w:i/>
          <w:color w:val="2B2B2B"/>
          <w:sz w:val="23"/>
        </w:rPr>
        <w:t xml:space="preserve"> variants is best; comparing against an independent system tells you whether your best variant is actually competitive with something built by people who weren't optimizing for your benchmark. Following what REMem does for the same reason."</w:t>
      </w:r>
    </w:p>
    <w:p>
      <w:pPr>
        <w:spacing w:after="160"/>
      </w:pPr>
      <w:r>
        <w:rPr>
          <w:b/>
        </w:rPr>
        <w:t>Q: Your best policy just tied with Mem0 — isn't that a weak result to headline?</w:t>
      </w:r>
    </w:p>
    <w:p>
      <w:pPr>
        <w:spacing w:after="160"/>
        <w:ind w:left="504"/>
      </w:pPr>
      <w:r>
        <w:rPr>
          <w:i/>
          <w:color w:val="2B2B2B"/>
          <w:sz w:val="23"/>
        </w:rPr>
        <w:t xml:space="preserve">"It's the honest result, and I'd rather report a true tie than an inflated win. It's also not really a fair fight in Mem0's favor — I had to substitute a much weaker local model for Mem0's own extraction step purely due to budget ($62 for the full GPT-4o version was infeasible), which cost it a measured 3.3% data-loss rate and a broken timestamp handling. A tie </w:t>
      </w:r>
      <w:r>
        <w:rPr>
          <w:i/>
          <w:color w:val="2B2B2B"/>
          <w:sz w:val="23"/>
        </w:rPr>
        <w:t>despite</w:t>
      </w:r>
      <w:r>
        <w:rPr>
          <w:i/>
          <w:color w:val="2B2B2B"/>
          <w:sz w:val="23"/>
        </w:rPr>
        <w:t xml:space="preserve"> that handicap is actually a reasonably strong signal, and I say so directly — a like-for-like comparison is future work, not something I'm claiming already."</w:t>
      </w:r>
    </w:p>
    <w:p>
      <w:pPr>
        <w:spacing w:after="160"/>
      </w:pPr>
      <w:r>
        <w:t>---</w:t>
      </w:r>
    </w:p>
    <w:p>
      <w:pPr>
        <w:pStyle w:val="Heading1"/>
      </w:pPr>
      <w:r>
        <w:t>7. The Paper's Core Narrative — expect deep questions here</w:t>
      </w:r>
    </w:p>
    <w:p>
      <w:pPr>
        <w:spacing w:after="160"/>
      </w:pPr>
      <w:r>
        <w:rPr>
          <w:b/>
        </w:rPr>
        <w:t>Q: In one sentence, what's the paper's main finding?</w:t>
      </w:r>
    </w:p>
    <w:p>
      <w:pPr>
        <w:spacing w:after="160"/>
        <w:ind w:left="504"/>
      </w:pPr>
      <w:r>
        <w:rPr>
          <w:i/>
          <w:color w:val="2B2B2B"/>
          <w:sz w:val="23"/>
        </w:rPr>
        <w:t xml:space="preserve">"A model can rank memory lifetimes very well by a validated statistical metric and still produce a bad deployed forgetting policy, because that metric structurally can't check the thing the deployed policy actually depends on — an absolute threshold and a decision structure — and fixing that gap required a different </w:t>
      </w:r>
      <w:r>
        <w:rPr>
          <w:i/>
          <w:color w:val="2B2B2B"/>
          <w:sz w:val="23"/>
        </w:rPr>
        <w:t>use</w:t>
      </w:r>
      <w:r>
        <w:rPr>
          <w:i/>
          <w:color w:val="2B2B2B"/>
          <w:sz w:val="23"/>
        </w:rPr>
        <w:t xml:space="preserve"> of a model we already had, not a better model."</w:t>
      </w:r>
    </w:p>
    <w:p>
      <w:pPr>
        <w:spacing w:after="160"/>
      </w:pPr>
      <w:r>
        <w:rPr>
          <w:b/>
        </w:rPr>
        <w:t>Q: Why did your original policy do worse than naive baselines like FIFO?</w:t>
      </w:r>
    </w:p>
    <w:p>
      <w:pPr>
        <w:spacing w:after="160"/>
        <w:ind w:left="504"/>
      </w:pPr>
      <w:r>
        <w:rPr>
          <w:i/>
          <w:color w:val="2B2B2B"/>
          <w:sz w:val="23"/>
        </w:rPr>
        <w:t>"Two independently diagnosed causes. One: the TTL cutoff was the survival curve's median, which is a coin-flip cutoff by construction, so on average it evicts about half of what it should keep — verified directly, mean predicted TTL was 114 days against 164 actually needed. Two: it made an independent per-memory decision — each memory judged alone against its own threshold — while FIFO and LRU always keep their best N by a ranked score. A ranked top-N structure can't waste capacity the way an independent threshold can."</w:t>
      </w:r>
    </w:p>
    <w:p>
      <w:pPr>
        <w:spacing w:after="160"/>
      </w:pPr>
      <w:r>
        <w:rPr>
          <w:b/>
        </w:rPr>
        <w:t>Q: How did you know it was those two causes and not something else?</w:t>
      </w:r>
    </w:p>
    <w:p>
      <w:pPr>
        <w:spacing w:after="160"/>
        <w:ind w:left="504"/>
      </w:pPr>
      <w:r>
        <w:rPr>
          <w:i/>
          <w:color w:val="2B2B2B"/>
          <w:sz w:val="23"/>
        </w:rPr>
        <w:t>"I built a free diagnostic — no LLM calls, pure set-membership — checking whether the exact gold-evidence memory for a question survived eviction, which isolates policy quality from answering noise entirely. Then I tested each cause independently: making the TTL cutoff a configurable quantile confirmed cause one was real but didn't close the LRU gap on its own; switching to a ranked structure using the utility signal (holding the miscalibration issue aside) closed almost the whole gap by itself. That's how I know it's cause two doing most of the work, not cause one."</w:t>
      </w:r>
    </w:p>
    <w:p>
      <w:pPr>
        <w:spacing w:after="160"/>
      </w:pPr>
      <w:r>
        <w:rPr>
          <w:b/>
        </w:rPr>
        <w:t>Q: Why does ranking by 'Future-Utility' work better than ranking by TTL?</w:t>
      </w:r>
    </w:p>
    <w:p>
      <w:pPr>
        <w:spacing w:after="160"/>
        <w:ind w:left="504"/>
      </w:pPr>
      <w:r>
        <w:rPr>
          <w:i/>
          <w:color w:val="2B2B2B"/>
          <w:sz w:val="23"/>
        </w:rPr>
        <w:t xml:space="preserve">"Because I checked directly rather than assumed: pooled AUC of each signal against real QA-evidence relevance. </w:t>
      </w:r>
      <w:r>
        <w:rPr>
          <w:rFonts w:ascii="Consolas" w:hAnsi="Consolas"/>
          <w:i/>
          <w:color w:val="2B2B2B"/>
          <w:sz w:val="23"/>
        </w:rPr>
        <w:t>utility_prob</w:t>
      </w:r>
      <w:r>
        <w:rPr>
          <w:i/>
          <w:color w:val="2B2B2B"/>
          <w:sz w:val="23"/>
        </w:rPr>
        <w:t xml:space="preserve"> scores 0.67 — genuinely predictive. </w:t>
      </w:r>
      <w:r>
        <w:rPr>
          <w:rFonts w:ascii="Consolas" w:hAnsi="Consolas"/>
          <w:i/>
          <w:color w:val="2B2B2B"/>
          <w:sz w:val="23"/>
        </w:rPr>
        <w:t>predicted_ttl_days</w:t>
      </w:r>
      <w:r>
        <w:rPr>
          <w:i/>
          <w:color w:val="2B2B2B"/>
          <w:sz w:val="23"/>
        </w:rPr>
        <w:t xml:space="preserve"> scores 0.29 — below random, actually inversely correlated with what you'd want to keep. The fix works because it swaps a backwards signal for a working one, not just because ranking beats thresholding in the abstract."</w:t>
      </w:r>
    </w:p>
    <w:p>
      <w:pPr>
        <w:spacing w:after="160"/>
      </w:pPr>
      <w:r>
        <w:rPr>
          <w:b/>
        </w:rPr>
        <w:t>Q: If your original policy was so bad, was the whole first half of the paper (the ranking results) pointless?</w:t>
      </w:r>
    </w:p>
    <w:p>
      <w:pPr>
        <w:spacing w:after="160"/>
        <w:ind w:left="504"/>
      </w:pPr>
      <w:r>
        <w:rPr>
          <w:i/>
          <w:color w:val="2B2B2B"/>
          <w:sz w:val="23"/>
        </w:rPr>
        <w:t xml:space="preserve">"No — the ranking results validate that the Lifetime head learned something real (it beats every baseline at ranking), and the Future-Utility head that ends up being the actual fix was trained and validated in that same first half (AUC 0.71–0.77). What Part 2 shows is that ranking validation alone doesn't certify a </w:t>
      </w:r>
      <w:r>
        <w:rPr>
          <w:i/>
          <w:color w:val="2B2B2B"/>
          <w:sz w:val="23"/>
        </w:rPr>
        <w:t>deployed decision rule</w:t>
      </w:r>
      <w:r>
        <w:rPr>
          <w:i/>
          <w:color w:val="2B2B2B"/>
          <w:sz w:val="23"/>
        </w:rPr>
        <w:t xml:space="preserve"> — you need a downstream test for that, which is the paper's real methodological point, not 'the ranking work was wasted.'"</w:t>
      </w:r>
    </w:p>
    <w:p>
      <w:pPr>
        <w:spacing w:after="160"/>
      </w:pPr>
      <w:r>
        <w:rPr>
          <w:b/>
        </w:rPr>
        <w:t>Q: What would you do differently if you were starting over?</w:t>
      </w:r>
    </w:p>
    <w:p>
      <w:pPr>
        <w:spacing w:after="160"/>
        <w:ind w:left="504"/>
      </w:pPr>
      <w:r>
        <w:rPr>
          <w:i/>
          <w:color w:val="2B2B2B"/>
          <w:sz w:val="23"/>
        </w:rPr>
        <w:t>"Validate the deployed decision rule with a downstream task-level test from the start, rather than treating a strong ranking metric as sufficient evidence on its own. That's now the explicit, stated takeaway of the conclusion — it's the one lesson I'd want someone building on this to walk away with."</w:t>
      </w:r>
    </w:p>
    <w:p>
      <w:pPr>
        <w:spacing w:after="160"/>
      </w:pPr>
      <w:r>
        <w:t>---</w:t>
      </w:r>
    </w:p>
    <w:p>
      <w:pPr>
        <w:pStyle w:val="Heading1"/>
      </w:pPr>
      <w:r>
        <w:t>8. Limitations — know these cold, don't get caught off guard</w:t>
      </w:r>
    </w:p>
    <w:p>
      <w:pPr>
        <w:spacing w:after="160"/>
      </w:pPr>
      <w:r>
        <w:rPr>
          <w:b/>
        </w:rPr>
        <w:t>Q: What's the weakest part of this paper, in your own words?</w:t>
      </w:r>
    </w:p>
    <w:p>
      <w:pPr>
        <w:spacing w:after="160"/>
        <w:ind w:left="504"/>
      </w:pPr>
      <w:r>
        <w:rPr>
          <w:i/>
          <w:color w:val="2B2B2B"/>
          <w:sz w:val="23"/>
        </w:rPr>
        <w:t>Pick one honestly and be ready to defend it, e.g.: "Probably the Mem0 comparison — it's a real integration, but the extraction model substitution is a genuine confound, and I can't yet claim what happens with a like-for-like setup. I disclose the specific failure modes it caused (3.3% data loss, broken timestamps) rather than papering over them, but it's still the comparison I'd most want to redo with more budget."</w:t>
      </w:r>
    </w:p>
    <w:p>
      <w:pPr>
        <w:spacing w:after="160"/>
      </w:pPr>
      <w:r>
        <w:rPr>
          <w:b/>
        </w:rPr>
        <w:t>Q: Why didn't you get human validation of your labels?</w:t>
      </w:r>
    </w:p>
    <w:p>
      <w:pPr>
        <w:spacing w:after="160"/>
        <w:ind w:left="504"/>
      </w:pPr>
      <w:r>
        <w:rPr>
          <w:i/>
          <w:color w:val="2B2B2B"/>
          <w:sz w:val="23"/>
        </w:rPr>
        <w:t>"Time and scope, for a 6-week project — every label is programmatically derived from the source data's structure (probe schedules for synthetic data, evidence/session linkage for real conversations). I state this directly as an open limitation rather than implying the labels are gold-standard verified."</w:t>
      </w:r>
    </w:p>
    <w:p>
      <w:pPr>
        <w:spacing w:after="160"/>
      </w:pPr>
      <w:r>
        <w:rPr>
          <w:b/>
        </w:rPr>
        <w:t>Q: The censoring convention for real conversations — isn't that just made up?</w:t>
      </w:r>
    </w:p>
    <w:p>
      <w:pPr>
        <w:spacing w:after="160"/>
        <w:ind w:left="504"/>
      </w:pPr>
      <w:r>
        <w:rPr>
          <w:i/>
          <w:color w:val="2B2B2B"/>
          <w:sz w:val="23"/>
        </w:rPr>
        <w:t>"It's a defensible proxy, not an arbitrary one — real conversations have a median of 8 memory records over a median 17.5 days, so 'last observed timestamp in the conversation' is meaningfully informative, not a single global cutoff applied blindly. But it's a judgment call with no ground-truth alternative in the source data, and I say that plainly rather than presenting it as settled — a sensitivity analysis under a different convention is named as future work."</w:t>
      </w:r>
    </w:p>
    <w:p>
      <w:pPr>
        <w:spacing w:after="160"/>
      </w:pPr>
      <w:r>
        <w:t>---</w:t>
      </w:r>
    </w:p>
    <w:p>
      <w:pPr>
        <w:pStyle w:val="Heading1"/>
      </w:pPr>
      <w:r>
        <w:t>9. "Gotcha" / devil's-advocate questions</w:t>
      </w:r>
    </w:p>
    <w:p>
      <w:pPr>
        <w:spacing w:after="160"/>
      </w:pPr>
      <w:r>
        <w:rPr>
          <w:b/>
        </w:rPr>
        <w:t>Q: Couldn't you have just tuned the median threshold and skipped the whole utility-head fix?</w:t>
      </w:r>
    </w:p>
    <w:p>
      <w:pPr>
        <w:spacing w:after="160"/>
        <w:ind w:left="504"/>
      </w:pPr>
      <w:r>
        <w:rPr>
          <w:i/>
          <w:color w:val="2B2B2B"/>
          <w:sz w:val="23"/>
        </w:rPr>
        <w:t>"That's exactly Fix #1, and I tested it — sweeping the quantile from 0.5 down to 0.05 does improve retention a lot (66.9% → 97.2%), but at every quantile tested, LRU still retains evidence at least as well. So threshold-tuning alone doesn't close the structural gap — you need the ranked decision structure too, which is what Fix #2 actually changes."</w:t>
      </w:r>
    </w:p>
    <w:p>
      <w:pPr>
        <w:spacing w:after="160"/>
      </w:pPr>
      <w:r>
        <w:rPr>
          <w:b/>
        </w:rPr>
        <w:t>Q: Your sample sizes for some breakdowns are tiny (N=16, N=2) — doesn't that undercut the paper?</w:t>
      </w:r>
    </w:p>
    <w:p>
      <w:pPr>
        <w:spacing w:after="160"/>
        <w:ind w:left="504"/>
      </w:pPr>
      <w:r>
        <w:rPr>
          <w:i/>
          <w:color w:val="2B2B2B"/>
          <w:sz w:val="23"/>
        </w:rPr>
        <w:t>"For those specific slices, yes, and I say so directly rather than drawing a conclusion from them — e.g., the Temporal-question and Open-Domain breakdowns are flagged explicitly as too small to support a standalone claim. The headline claims (N=120 real questions, N=1,304–1,542 for the free diagnostic) have enough sample size to support what's claimed; the small-N breakdowns are reported as directional color, not proof."</w:t>
      </w:r>
    </w:p>
    <w:p>
      <w:pPr>
        <w:spacing w:after="160"/>
      </w:pPr>
      <w:r>
        <w:rPr>
          <w:b/>
        </w:rPr>
        <w:t>Q: If C-index can't validate a deployed decision, why report it as a headline result at all?</w:t>
      </w:r>
    </w:p>
    <w:p>
      <w:pPr>
        <w:spacing w:after="160"/>
        <w:ind w:left="504"/>
      </w:pPr>
      <w:r>
        <w:rPr>
          <w:i/>
          <w:color w:val="2B2B2B"/>
          <w:sz w:val="23"/>
        </w:rPr>
        <w:t>"Because it's still the right metric for what it measures — whether the model has learned a real, useful ranking signal at all, which is a necessary condition, just not a sufficient one for a good policy. The paper's whole point is that necessary-but-not-sufficient distinction; reporting C-index and then showing where it falls short is what makes the second half of the paper meaningful instead of a repeat of the first half."</w:t>
      </w:r>
    </w:p>
    <w:p>
      <w:pPr>
        <w:spacing w:after="160"/>
      </w:pPr>
      <w:r>
        <w:rPr>
          <w:b/>
        </w:rPr>
        <w:t>Q: Are you sure this generalizes past LoCoMo and LongMemEval?</w:t>
      </w:r>
    </w:p>
    <w:p>
      <w:pPr>
        <w:spacing w:after="160"/>
        <w:ind w:left="504"/>
      </w:pPr>
      <w:r>
        <w:rPr>
          <w:i/>
          <w:color w:val="2B2B2B"/>
          <w:sz w:val="23"/>
        </w:rPr>
        <w:t>"Not proven — that's an honest limit, not addressed here. Both are the standard benchmarks in this specific space, and I use them because they're the ones frontier memory-system papers (Mem0, REMem) also evaluate on, which is what makes the comparisons meaningful. But I don't claim the findings transfer to conversation styles or domains outside what these two benchmarks capture."</w:t>
      </w:r>
    </w:p>
    <w:p>
      <w:pPr>
        <w:spacing w:after="160"/>
      </w:pPr>
      <w:r>
        <w:t>---</w:t>
      </w:r>
    </w:p>
    <w:p>
      <w:pPr>
        <w:pStyle w:val="Heading1"/>
      </w:pPr>
      <w:r>
        <w:t>10. Rapid-fire numbers to have on instant recall</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
              <w:rPr>
                <w:b/>
              </w:rPr>
              <w:t>If asked...</w:t>
            </w:r>
          </w:p>
        </w:tc>
        <w:tc>
          <w:tcPr>
            <w:tcW w:type="dxa" w:w="4680"/>
            <w:shd w:fill="D9E2F3"/>
          </w:tcPr>
          <w:p>
            <w:r/>
            <w:r>
              <w:rPr>
                <w:b/>
              </w:rPr>
              <w:t>Say...</w:t>
            </w:r>
          </w:p>
        </w:tc>
      </w:tr>
      <w:tr>
        <w:tc>
          <w:tcPr>
            <w:tcW w:type="dxa" w:w="4680"/>
          </w:tcPr>
          <w:p>
            <w:r/>
            <w:r>
              <w:t>Model size</w:t>
            </w:r>
          </w:p>
        </w:tc>
        <w:tc>
          <w:tcPr>
            <w:tcW w:type="dxa" w:w="4680"/>
          </w:tcPr>
          <w:p>
            <w:r/>
            <w:r>
              <w:t>213,889 params (single-task) / 425,734 (joint)</w:t>
            </w:r>
          </w:p>
        </w:tc>
      </w:tr>
      <w:tr>
        <w:tc>
          <w:tcPr>
            <w:tcW w:type="dxa" w:w="4680"/>
          </w:tcPr>
          <w:p>
            <w:r/>
            <w:r>
              <w:t>Headline C-index</w:t>
            </w:r>
          </w:p>
        </w:tc>
        <w:tc>
          <w:tcPr>
            <w:tcW w:type="dxa" w:w="4680"/>
          </w:tcPr>
          <w:p>
            <w:r/>
            <w:r>
              <w:t>0.7218 (ours) vs. 0.5411 (GPT-4o), p&lt;0.001</w:t>
            </w:r>
          </w:p>
        </w:tc>
      </w:tr>
      <w:tr>
        <w:tc>
          <w:tcPr>
            <w:tcW w:type="dxa" w:w="4680"/>
          </w:tcPr>
          <w:p>
            <w:r/>
            <w:r>
              <w:t>Dataset size</w:t>
            </w:r>
          </w:p>
        </w:tc>
        <w:tc>
          <w:tcPr>
            <w:tcW w:type="dxa" w:w="4680"/>
          </w:tcPr>
          <w:p>
            <w:r/>
            <w:r>
              <w:t>10,152 records, 8,297/939/916 train/val/test</w:t>
            </w:r>
          </w:p>
        </w:tc>
      </w:tr>
      <w:tr>
        <w:tc>
          <w:tcPr>
            <w:tcW w:type="dxa" w:w="4680"/>
          </w:tcPr>
          <w:p>
            <w:r/>
            <w:r>
              <w:t>The negative result</w:t>
            </w:r>
          </w:p>
        </w:tc>
        <w:tc>
          <w:tcPr>
            <w:tcW w:type="dxa" w:w="4680"/>
          </w:tcPr>
          <w:p>
            <w:r/>
            <w:r>
              <w:rPr>
                <w:rFonts w:ascii="Consolas" w:hAnsi="Consolas"/>
                <w:sz w:val="20"/>
              </w:rPr>
              <w:t>ours</w:t>
            </w:r>
            <w:r>
              <w:t xml:space="preserve"> EM 0.1102 vs. </w:t>
            </w:r>
            <w:r>
              <w:rPr>
                <w:rFonts w:ascii="Consolas" w:hAnsi="Consolas"/>
                <w:sz w:val="20"/>
              </w:rPr>
              <w:t>no_forget</w:t>
            </w:r>
            <w:r>
              <w:t xml:space="preserve"> 0.1706 — worst of 4 policies</w:t>
            </w:r>
          </w:p>
        </w:tc>
      </w:tr>
      <w:tr>
        <w:tc>
          <w:tcPr>
            <w:tcW w:type="dxa" w:w="4680"/>
          </w:tcPr>
          <w:p>
            <w:r/>
            <w:r>
              <w:t>The fix's win margin</w:t>
            </w:r>
          </w:p>
        </w:tc>
        <w:tc>
          <w:tcPr>
            <w:tcW w:type="dxa" w:w="4680"/>
          </w:tcPr>
          <w:p>
            <w:r/>
            <w:r>
              <w:t>+0.0499 EM vs. fifo (p=0.002), tied with no_forget (p=1.000)</w:t>
            </w:r>
          </w:p>
        </w:tc>
      </w:tr>
      <w:tr>
        <w:tc>
          <w:tcPr>
            <w:tcW w:type="dxa" w:w="4680"/>
          </w:tcPr>
          <w:p>
            <w:r/>
            <w:r>
              <w:t>The fix's honest gap</w:t>
            </w:r>
          </w:p>
        </w:tc>
        <w:tc>
          <w:tcPr>
            <w:tcW w:type="dxa" w:w="4680"/>
          </w:tcPr>
          <w:p>
            <w:r/>
            <w:r>
              <w:t>not sig. vs. lru at n=120 (p=0.367)</w:t>
            </w:r>
          </w:p>
        </w:tc>
      </w:tr>
      <w:tr>
        <w:tc>
          <w:tcPr>
            <w:tcW w:type="dxa" w:w="4680"/>
          </w:tcPr>
          <w:p>
            <w:r/>
            <w:r>
              <w:t>Why the fix works</w:t>
            </w:r>
          </w:p>
        </w:tc>
        <w:tc>
          <w:tcPr>
            <w:tcW w:type="dxa" w:w="4680"/>
          </w:tcPr>
          <w:p>
            <w:r/>
            <w:r>
              <w:t>utility_prob AUC 0.67 vs. predicted_ttl AUC 0.29 (backwards)</w:t>
            </w:r>
          </w:p>
        </w:tc>
      </w:tr>
      <w:tr>
        <w:tc>
          <w:tcPr>
            <w:tcW w:type="dxa" w:w="4680"/>
          </w:tcPr>
          <w:p>
            <w:r/>
            <w:r>
              <w:t>Oracle ceiling</w:t>
            </w:r>
          </w:p>
        </w:tc>
        <w:tc>
          <w:tcPr>
            <w:tcW w:type="dxa" w:w="4680"/>
          </w:tcPr>
          <w:p>
            <w:r/>
            <w:r>
              <w:t>beats no_forget by +0.14 F1, p&lt;0.0001</w:t>
            </w:r>
          </w:p>
        </w:tc>
      </w:tr>
      <w:tr>
        <w:tc>
          <w:tcPr>
            <w:tcW w:type="dxa" w:w="4680"/>
          </w:tcPr>
          <w:p>
            <w:r/>
            <w:r>
              <w:t>Mem0 result</w:t>
            </w:r>
          </w:p>
        </w:tc>
        <w:tc>
          <w:tcPr>
            <w:tcW w:type="dxa" w:w="4680"/>
          </w:tcPr>
          <w:p>
            <w:r/>
            <w:r>
              <w:t>statistically tied (p&gt;0.13), not superior</w:t>
            </w:r>
          </w:p>
        </w:tc>
      </w:tr>
      <w:tr>
        <w:tc>
          <w:tcPr>
            <w:tcW w:type="dxa" w:w="4680"/>
          </w:tcPr>
          <w:p>
            <w:r/>
            <w:r>
              <w:t>Dominant error mode</w:t>
            </w:r>
          </w:p>
        </w:tc>
        <w:tc>
          <w:tcPr>
            <w:tcW w:type="dxa" w:w="4680"/>
          </w:tcPr>
          <w:p>
            <w:r/>
            <w:r>
              <w:t>54% false refusal, not wrong guesses</w:t>
            </w:r>
          </w:p>
        </w:tc>
      </w:tr>
      <w:tr>
        <w:tc>
          <w:tcPr>
            <w:tcW w:type="dxa" w:w="4680"/>
          </w:tcPr>
          <w:p>
            <w:r/>
            <w:r>
              <w:t>Tests / reproducibility</w:t>
            </w:r>
          </w:p>
        </w:tc>
        <w:tc>
          <w:tcPr>
            <w:tcW w:type="dxa" w:w="4680"/>
          </w:tcPr>
          <w:p>
            <w:r/>
            <w:r>
              <w:t>51 unit tests, 5-seed / 3-seed stability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