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A6CF"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b/>
          <w:bCs/>
          <w:color w:val="333333"/>
          <w:kern w:val="0"/>
          <w:sz w:val="21"/>
          <w:szCs w:val="21"/>
          <w:lang w:eastAsia="tr-TR"/>
          <w14:ligatures w14:val="none"/>
        </w:rPr>
        <w:t>Genel Bilgi</w:t>
      </w:r>
    </w:p>
    <w:p w14:paraId="59D20D31"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Paris Anlaşması, temel olarak Birleşmiş Milletler İklim Değişikliği Çerçeve Sözleşmesi’ne dayanmaktadır ve Kyoto Protokolü’nün sona erme tarihi olan 2020 sonrası iklim değişikliği rejimini düzenlemeyi amaçlamaktadır.</w:t>
      </w:r>
    </w:p>
    <w:p w14:paraId="6A510144"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Paris Anlaşması, 2020 sonrası süreçte, iklim değişikliği tehlikesine karşı küresel sosyoekonomik dayanıklılığın güçlendirilmesini hedeflemektedir. Paris Anlaşması’nın uzun dönemli hedefi, endüstriyelleşme öncesi döneme kıyasen küresel sıcaklık artışının 2°C’nin olabildiğince altında (mümkünse 1.5 derece seviyesinde) tutulmasıdır. </w:t>
      </w:r>
      <w:r w:rsidRPr="00EA441A">
        <w:rPr>
          <w:rFonts w:ascii="Roboto" w:eastAsia="Times New Roman" w:hAnsi="Roboto" w:cs="Times New Roman"/>
          <w:color w:val="333333"/>
          <w:kern w:val="0"/>
          <w:sz w:val="21"/>
          <w:szCs w:val="21"/>
          <w:u w:val="single"/>
          <w:lang w:eastAsia="tr-TR"/>
          <w14:ligatures w14:val="none"/>
        </w:rPr>
        <w:t>Bu hedef fosil yakıt (petrol, kömür) kullanımının tedricen azaltılarak, yenilenebilir enerjiye yönelinmesini gerektirmektedir.</w:t>
      </w:r>
    </w:p>
    <w:p w14:paraId="40AA8032"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xml:space="preserve">Paris Anlaşması iklim değişikliğine karşı uluslararası </w:t>
      </w:r>
      <w:proofErr w:type="gramStart"/>
      <w:r w:rsidRPr="00EA441A">
        <w:rPr>
          <w:rFonts w:ascii="Roboto" w:eastAsia="Times New Roman" w:hAnsi="Roboto" w:cs="Times New Roman"/>
          <w:color w:val="333333"/>
          <w:kern w:val="0"/>
          <w:sz w:val="21"/>
          <w:szCs w:val="21"/>
          <w:lang w:eastAsia="tr-TR"/>
          <w14:ligatures w14:val="none"/>
        </w:rPr>
        <w:t>işbirliğini</w:t>
      </w:r>
      <w:proofErr w:type="gramEnd"/>
      <w:r w:rsidRPr="00EA441A">
        <w:rPr>
          <w:rFonts w:ascii="Roboto" w:eastAsia="Times New Roman" w:hAnsi="Roboto" w:cs="Times New Roman"/>
          <w:color w:val="333333"/>
          <w:kern w:val="0"/>
          <w:sz w:val="21"/>
          <w:szCs w:val="21"/>
          <w:lang w:eastAsia="tr-TR"/>
          <w14:ligatures w14:val="none"/>
        </w:rPr>
        <w:t xml:space="preserve"> farklı bir yoldan sürdürmektedir. Paris Anlaşması ile Sözleşmenin ekler sistemi ve özellikle de Kyoto Protokolü ile kurulan yapının küresel emisyonlarda en yüksek paya sahip olan ABD ve Çin gibi önemli tarafların azaltım eyleminin dışında kalmasına yol açtığı için etkili olmadığı savından yola çıkılarak, </w:t>
      </w:r>
      <w:r w:rsidRPr="00EA441A">
        <w:rPr>
          <w:rFonts w:ascii="Roboto" w:eastAsia="Times New Roman" w:hAnsi="Roboto" w:cs="Times New Roman"/>
          <w:color w:val="333333"/>
          <w:kern w:val="0"/>
          <w:sz w:val="21"/>
          <w:szCs w:val="21"/>
          <w:u w:val="single"/>
          <w:lang w:eastAsia="tr-TR"/>
          <w14:ligatures w14:val="none"/>
        </w:rPr>
        <w:t xml:space="preserve">tüm tarafları azaltım eylemine ortak etmesi beklenen yeni bir </w:t>
      </w:r>
      <w:proofErr w:type="gramStart"/>
      <w:r w:rsidRPr="00EA441A">
        <w:rPr>
          <w:rFonts w:ascii="Roboto" w:eastAsia="Times New Roman" w:hAnsi="Roboto" w:cs="Times New Roman"/>
          <w:color w:val="333333"/>
          <w:kern w:val="0"/>
          <w:sz w:val="21"/>
          <w:szCs w:val="21"/>
          <w:u w:val="single"/>
          <w:lang w:eastAsia="tr-TR"/>
          <w14:ligatures w14:val="none"/>
        </w:rPr>
        <w:t>işbirliği</w:t>
      </w:r>
      <w:proofErr w:type="gramEnd"/>
      <w:r w:rsidRPr="00EA441A">
        <w:rPr>
          <w:rFonts w:ascii="Roboto" w:eastAsia="Times New Roman" w:hAnsi="Roboto" w:cs="Times New Roman"/>
          <w:color w:val="333333"/>
          <w:kern w:val="0"/>
          <w:sz w:val="21"/>
          <w:szCs w:val="21"/>
          <w:u w:val="single"/>
          <w:lang w:eastAsia="tr-TR"/>
          <w14:ligatures w14:val="none"/>
        </w:rPr>
        <w:t xml:space="preserve"> çerçevesi oluşturulmuştur.</w:t>
      </w:r>
    </w:p>
    <w:p w14:paraId="6804C69E"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xml:space="preserve">Anlaşma’nın en önemli özelliği Kyoto Protokolü’nden farklı olarak gelişmiş ve gelişmekte ülkelerin Ulusal Katkı </w:t>
      </w:r>
      <w:proofErr w:type="spellStart"/>
      <w:r w:rsidRPr="00EA441A">
        <w:rPr>
          <w:rFonts w:ascii="Roboto" w:eastAsia="Times New Roman" w:hAnsi="Roboto" w:cs="Times New Roman"/>
          <w:color w:val="333333"/>
          <w:kern w:val="0"/>
          <w:sz w:val="21"/>
          <w:szCs w:val="21"/>
          <w:lang w:eastAsia="tr-TR"/>
          <w14:ligatures w14:val="none"/>
        </w:rPr>
        <w:t>Beyanları’nı</w:t>
      </w:r>
      <w:proofErr w:type="spellEnd"/>
      <w:r w:rsidRPr="00EA441A">
        <w:rPr>
          <w:rFonts w:ascii="Roboto" w:eastAsia="Times New Roman" w:hAnsi="Roboto" w:cs="Times New Roman"/>
          <w:color w:val="333333"/>
          <w:kern w:val="0"/>
          <w:sz w:val="21"/>
          <w:szCs w:val="21"/>
          <w:lang w:eastAsia="tr-TR"/>
          <w14:ligatures w14:val="none"/>
        </w:rPr>
        <w:t xml:space="preserve"> (</w:t>
      </w:r>
      <w:proofErr w:type="spellStart"/>
      <w:r w:rsidRPr="00EA441A">
        <w:rPr>
          <w:rFonts w:ascii="Roboto" w:eastAsia="Times New Roman" w:hAnsi="Roboto" w:cs="Times New Roman"/>
          <w:color w:val="333333"/>
          <w:kern w:val="0"/>
          <w:sz w:val="21"/>
          <w:szCs w:val="21"/>
          <w:lang w:eastAsia="tr-TR"/>
          <w14:ligatures w14:val="none"/>
        </w:rPr>
        <w:t>Nationally</w:t>
      </w:r>
      <w:proofErr w:type="spellEnd"/>
      <w:r w:rsidRPr="00EA441A">
        <w:rPr>
          <w:rFonts w:ascii="Roboto" w:eastAsia="Times New Roman" w:hAnsi="Roboto" w:cs="Times New Roman"/>
          <w:color w:val="333333"/>
          <w:kern w:val="0"/>
          <w:sz w:val="21"/>
          <w:szCs w:val="21"/>
          <w:lang w:eastAsia="tr-TR"/>
          <w14:ligatures w14:val="none"/>
        </w:rPr>
        <w:t xml:space="preserve"> </w:t>
      </w:r>
      <w:proofErr w:type="spellStart"/>
      <w:r w:rsidRPr="00EA441A">
        <w:rPr>
          <w:rFonts w:ascii="Roboto" w:eastAsia="Times New Roman" w:hAnsi="Roboto" w:cs="Times New Roman"/>
          <w:color w:val="333333"/>
          <w:kern w:val="0"/>
          <w:sz w:val="21"/>
          <w:szCs w:val="21"/>
          <w:lang w:eastAsia="tr-TR"/>
          <w14:ligatures w14:val="none"/>
        </w:rPr>
        <w:t>Determined</w:t>
      </w:r>
      <w:proofErr w:type="spellEnd"/>
      <w:r w:rsidRPr="00EA441A">
        <w:rPr>
          <w:rFonts w:ascii="Roboto" w:eastAsia="Times New Roman" w:hAnsi="Roboto" w:cs="Times New Roman"/>
          <w:color w:val="333333"/>
          <w:kern w:val="0"/>
          <w:sz w:val="21"/>
          <w:szCs w:val="21"/>
          <w:lang w:eastAsia="tr-TR"/>
          <w14:ligatures w14:val="none"/>
        </w:rPr>
        <w:t xml:space="preserve"> </w:t>
      </w:r>
      <w:proofErr w:type="spellStart"/>
      <w:r w:rsidRPr="00EA441A">
        <w:rPr>
          <w:rFonts w:ascii="Roboto" w:eastAsia="Times New Roman" w:hAnsi="Roboto" w:cs="Times New Roman"/>
          <w:color w:val="333333"/>
          <w:kern w:val="0"/>
          <w:sz w:val="21"/>
          <w:szCs w:val="21"/>
          <w:lang w:eastAsia="tr-TR"/>
          <w14:ligatures w14:val="none"/>
        </w:rPr>
        <w:t>Contribution</w:t>
      </w:r>
      <w:proofErr w:type="spellEnd"/>
      <w:r w:rsidRPr="00EA441A">
        <w:rPr>
          <w:rFonts w:ascii="Roboto" w:eastAsia="Times New Roman" w:hAnsi="Roboto" w:cs="Times New Roman"/>
          <w:color w:val="333333"/>
          <w:kern w:val="0"/>
          <w:sz w:val="21"/>
          <w:szCs w:val="21"/>
          <w:lang w:eastAsia="tr-TR"/>
          <w14:ligatures w14:val="none"/>
        </w:rPr>
        <w:t xml:space="preserve"> / NDC) ile azaltım eylemine katılmasıdır. Tüm ülkelerin emisyon azaltım ya da sınırlama hedefleriyle katılımını sağlayabilmek adına Protokol’den farklı yeni bir mimari oluşturulmuştur. Taraf ülkelerin üstleneceği sorumlulukların belirlenmesinde aşağıdan yukarı (</w:t>
      </w:r>
      <w:proofErr w:type="spellStart"/>
      <w:r w:rsidRPr="00EA441A">
        <w:rPr>
          <w:rFonts w:ascii="Roboto" w:eastAsia="Times New Roman" w:hAnsi="Roboto" w:cs="Times New Roman"/>
          <w:color w:val="333333"/>
          <w:kern w:val="0"/>
          <w:sz w:val="21"/>
          <w:szCs w:val="21"/>
          <w:lang w:eastAsia="tr-TR"/>
          <w14:ligatures w14:val="none"/>
        </w:rPr>
        <w:t>bottom-up</w:t>
      </w:r>
      <w:proofErr w:type="spellEnd"/>
      <w:r w:rsidRPr="00EA441A">
        <w:rPr>
          <w:rFonts w:ascii="Roboto" w:eastAsia="Times New Roman" w:hAnsi="Roboto" w:cs="Times New Roman"/>
          <w:color w:val="333333"/>
          <w:kern w:val="0"/>
          <w:sz w:val="21"/>
          <w:szCs w:val="21"/>
          <w:lang w:eastAsia="tr-TR"/>
          <w14:ligatures w14:val="none"/>
        </w:rPr>
        <w:t>) ve yukarıdan aşağı (top-</w:t>
      </w:r>
      <w:proofErr w:type="spellStart"/>
      <w:r w:rsidRPr="00EA441A">
        <w:rPr>
          <w:rFonts w:ascii="Roboto" w:eastAsia="Times New Roman" w:hAnsi="Roboto" w:cs="Times New Roman"/>
          <w:color w:val="333333"/>
          <w:kern w:val="0"/>
          <w:sz w:val="21"/>
          <w:szCs w:val="21"/>
          <w:lang w:eastAsia="tr-TR"/>
          <w14:ligatures w14:val="none"/>
        </w:rPr>
        <w:t>down</w:t>
      </w:r>
      <w:proofErr w:type="spellEnd"/>
      <w:r w:rsidRPr="00EA441A">
        <w:rPr>
          <w:rFonts w:ascii="Roboto" w:eastAsia="Times New Roman" w:hAnsi="Roboto" w:cs="Times New Roman"/>
          <w:color w:val="333333"/>
          <w:kern w:val="0"/>
          <w:sz w:val="21"/>
          <w:szCs w:val="21"/>
          <w:lang w:eastAsia="tr-TR"/>
          <w14:ligatures w14:val="none"/>
        </w:rPr>
        <w:t>) olarak tanımlanan yöntemleri birlikte kullanan Anlaşma hibrid bir yapı sergilemektedir. Taraf ülkelerin ulusal koşulları çerçevesinde kendi belirledikleri bağlayıcı olmayan gönüllü hedeflerden oluşan ulusal katkıları Anlaşmaya aşağıdan yukarı niteliğini kazandırmıştır. Anlaşma uygulamasının tüm taraflar için geçerli bir raporlama ve gözden geçirme sistemi ile izlenmesi yeni rejimin yukarıdan aşağı niteliğini oluşturmaktadır. Dolayısıyla Anlaşma bu özellikleriyle “vaat ve izleme” (</w:t>
      </w:r>
      <w:proofErr w:type="spellStart"/>
      <w:r w:rsidRPr="00EA441A">
        <w:rPr>
          <w:rFonts w:ascii="Roboto" w:eastAsia="Times New Roman" w:hAnsi="Roboto" w:cs="Times New Roman"/>
          <w:color w:val="333333"/>
          <w:kern w:val="0"/>
          <w:sz w:val="21"/>
          <w:szCs w:val="21"/>
          <w:lang w:eastAsia="tr-TR"/>
          <w14:ligatures w14:val="none"/>
        </w:rPr>
        <w:t>pledge-and-review</w:t>
      </w:r>
      <w:proofErr w:type="spellEnd"/>
      <w:r w:rsidRPr="00EA441A">
        <w:rPr>
          <w:rFonts w:ascii="Roboto" w:eastAsia="Times New Roman" w:hAnsi="Roboto" w:cs="Times New Roman"/>
          <w:color w:val="333333"/>
          <w:kern w:val="0"/>
          <w:sz w:val="21"/>
          <w:szCs w:val="21"/>
          <w:lang w:eastAsia="tr-TR"/>
          <w14:ligatures w14:val="none"/>
        </w:rPr>
        <w:t>) olarak adlandırılan yaklaşım üzerine kurulmuştur.</w:t>
      </w:r>
    </w:p>
    <w:p w14:paraId="1A448E0B"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Paris Anlaşması’yla kurulan yeni rejim mimarisinin Sözleşme ve Protokol’den farklılaştığı alanların başında Sözleşme ekleriyle yapılan sınıflandırmadan uzaklaşması gelmektedir. Anlaşma tarafların bireysel ve kolektif sorumluluklarıyla ilgili hükümlerinde eklere doğrudan atıfta bulunmamakta, </w:t>
      </w:r>
      <w:r w:rsidRPr="00EA441A">
        <w:rPr>
          <w:rFonts w:ascii="Roboto" w:eastAsia="Times New Roman" w:hAnsi="Roboto" w:cs="Times New Roman"/>
          <w:b/>
          <w:bCs/>
          <w:color w:val="333333"/>
          <w:kern w:val="0"/>
          <w:sz w:val="21"/>
          <w:szCs w:val="21"/>
          <w:lang w:eastAsia="tr-TR"/>
          <w14:ligatures w14:val="none"/>
        </w:rPr>
        <w:t>yalnızca gelişmiş ve gelişmekte olan ülkeler ayrımını kullanmaktadır</w:t>
      </w:r>
      <w:r w:rsidRPr="00EA441A">
        <w:rPr>
          <w:rFonts w:ascii="Roboto" w:eastAsia="Times New Roman" w:hAnsi="Roboto" w:cs="Times New Roman"/>
          <w:color w:val="333333"/>
          <w:kern w:val="0"/>
          <w:sz w:val="21"/>
          <w:szCs w:val="21"/>
          <w:lang w:eastAsia="tr-TR"/>
          <w14:ligatures w14:val="none"/>
        </w:rPr>
        <w:t>. Gelişmekte olan ülkeler grubunun kendi içinde sergilediği çeşitliliği de teslim eden Anlaşma şeffaflık, uygulama ve uygunluk mekanizması gibi işleyişle ilgili düzenlemelerde kırılganlıklarına, özel durumlarına ve kapasitelerine göre gelişmekte olan ülkeler arasında da farklılaştırmaya giderek en az gelişmiş ülkelere gereklerin yerine getirilmesinde esneklik sağlayan gömülü bir farklılaştırma yaratmıştır. Bununla birlikte, Anlaşma’nın Sözleşme eklerinin işlevini tümüyle ortadan kaldırdığını söylemek mümkün değildir. </w:t>
      </w:r>
      <w:r w:rsidRPr="00EA441A">
        <w:rPr>
          <w:rFonts w:ascii="Roboto" w:eastAsia="Times New Roman" w:hAnsi="Roboto" w:cs="Times New Roman"/>
          <w:b/>
          <w:bCs/>
          <w:color w:val="333333"/>
          <w:kern w:val="0"/>
          <w:sz w:val="21"/>
          <w:szCs w:val="21"/>
          <w:lang w:eastAsia="tr-TR"/>
          <w14:ligatures w14:val="none"/>
        </w:rPr>
        <w:t>Eklere doğrudan atıf yapılmamış olsa da özellikle azaltım ve finansman gibi öze ilişkin ödevlerin düzenlenmesinde gelişmiş ve gelişmekte olan ülkeler arasında yapılan ayrım, örtük olarak ekler sistemini izlemektedir.</w:t>
      </w:r>
      <w:r w:rsidRPr="00EA441A">
        <w:rPr>
          <w:rFonts w:ascii="Roboto" w:eastAsia="Times New Roman" w:hAnsi="Roboto" w:cs="Times New Roman"/>
          <w:color w:val="333333"/>
          <w:kern w:val="0"/>
          <w:sz w:val="21"/>
          <w:szCs w:val="21"/>
          <w:lang w:eastAsia="tr-TR"/>
          <w14:ligatures w14:val="none"/>
        </w:rPr>
        <w:t xml:space="preserve"> Örneğin gelişmiş ülkelerin </w:t>
      </w:r>
      <w:proofErr w:type="spellStart"/>
      <w:r w:rsidRPr="00EA441A">
        <w:rPr>
          <w:rFonts w:ascii="Roboto" w:eastAsia="Times New Roman" w:hAnsi="Roboto" w:cs="Times New Roman"/>
          <w:color w:val="333333"/>
          <w:kern w:val="0"/>
          <w:sz w:val="21"/>
          <w:szCs w:val="21"/>
          <w:lang w:eastAsia="tr-TR"/>
          <w14:ligatures w14:val="none"/>
        </w:rPr>
        <w:t>Sözleşme’de</w:t>
      </w:r>
      <w:proofErr w:type="spellEnd"/>
      <w:r w:rsidRPr="00EA441A">
        <w:rPr>
          <w:rFonts w:ascii="Roboto" w:eastAsia="Times New Roman" w:hAnsi="Roboto" w:cs="Times New Roman"/>
          <w:color w:val="333333"/>
          <w:kern w:val="0"/>
          <w:sz w:val="21"/>
          <w:szCs w:val="21"/>
          <w:lang w:eastAsia="tr-TR"/>
          <w14:ligatures w14:val="none"/>
        </w:rPr>
        <w:t xml:space="preserve"> olduğu gibi gelişmekte olan ülkelere finansman desteği sağlamaya devam edeceklerini belirten 9. Madde ekleri anmamaktadır; ancak bu hükmün Sözleşmenin 4. Maddesinde düzenlenen EK-II ülkelerinin mali destek yükümlülüğünün devamı olduğu açıktır. Yine, azaltımın düzenlendiği 4. </w:t>
      </w:r>
      <w:proofErr w:type="spellStart"/>
      <w:r w:rsidRPr="00EA441A">
        <w:rPr>
          <w:rFonts w:ascii="Roboto" w:eastAsia="Times New Roman" w:hAnsi="Roboto" w:cs="Times New Roman"/>
          <w:color w:val="333333"/>
          <w:kern w:val="0"/>
          <w:sz w:val="21"/>
          <w:szCs w:val="21"/>
          <w:lang w:eastAsia="tr-TR"/>
          <w14:ligatures w14:val="none"/>
        </w:rPr>
        <w:t>Madde’de</w:t>
      </w:r>
      <w:proofErr w:type="spellEnd"/>
      <w:r w:rsidRPr="00EA441A">
        <w:rPr>
          <w:rFonts w:ascii="Roboto" w:eastAsia="Times New Roman" w:hAnsi="Roboto" w:cs="Times New Roman"/>
          <w:color w:val="333333"/>
          <w:kern w:val="0"/>
          <w:sz w:val="21"/>
          <w:szCs w:val="21"/>
          <w:lang w:eastAsia="tr-TR"/>
          <w14:ligatures w14:val="none"/>
        </w:rPr>
        <w:t xml:space="preserve"> emisyon azaltım “hedef” ve “çabaları” şeklinde yapılan ayrımla gelişmiş ve gelişmekte olan ülkelerin azaltım eylemlerinin türleri arasında farklılaştırmaya gidilmiştir.</w:t>
      </w:r>
    </w:p>
    <w:p w14:paraId="5309EC06"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p w14:paraId="3EB08C94"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b/>
          <w:bCs/>
          <w:color w:val="333333"/>
          <w:kern w:val="0"/>
          <w:sz w:val="21"/>
          <w:szCs w:val="21"/>
          <w:lang w:eastAsia="tr-TR"/>
          <w14:ligatures w14:val="none"/>
        </w:rPr>
        <w:t>Türkiye’nin Paris Anlaşmasına Taraf Olması</w:t>
      </w:r>
    </w:p>
    <w:p w14:paraId="160DE0E9" w14:textId="77777777" w:rsidR="00EA441A" w:rsidRPr="00EA441A" w:rsidRDefault="00EA441A" w:rsidP="00EA441A">
      <w:pPr>
        <w:shd w:val="clear" w:color="auto" w:fill="FFFFFF"/>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xml:space="preserve">12 Aralık 2015 tarihinde kabul edilen ve 4 Kasım 2016 tarihinde yürürlüğe giren Paris Anlaşması, küresel iklim değişikliği ile mücadelede önemli bir dönüm noktasıdır. Türkiye, yeni iklim rejiminde finans ve teknoloji desteklerine erişim talebinin karşılanması kaydıyla 2015 yılında Paris Anlaşmasını kabul etmiş ve 22 Nisan 2016’da anlaşmayı GELİŞMEKTE OLAN ÜLKE olduğunu sözlü olarak dile getirerek imzalamıştır. Cumhurbaşkanımız Sayın Recep Tayyip ERDOĞAN, 21 </w:t>
      </w:r>
      <w:r w:rsidRPr="00EA441A">
        <w:rPr>
          <w:rFonts w:ascii="Roboto" w:eastAsia="Times New Roman" w:hAnsi="Roboto" w:cs="Times New Roman"/>
          <w:color w:val="333333"/>
          <w:kern w:val="0"/>
          <w:sz w:val="21"/>
          <w:szCs w:val="21"/>
          <w:lang w:eastAsia="tr-TR"/>
          <w14:ligatures w14:val="none"/>
        </w:rPr>
        <w:lastRenderedPageBreak/>
        <w:t xml:space="preserve">Eylül 2021 tarihinde Birleşmiş Milletler 76. Genel Kurulunda Paris Anlaşmasını onaylayacağımızı açıklamıştır. Sayın Cumhurbaşkanımız 27 Eylül 2021 tarihinde gerçekleşen Kabine Toplantısı’nın ardından yaptıkları konuşmada ise 2053 net sıfır emisyon hedefimizi açıklamıştır. Bu açıklamaların ardından 2016 yılında imzalamış olduğumuz Paris Anlaşmasının Onaylanmasının Uygun Bulunduğuna Dair Kanun 7 Ekim 2021 tarihli ve 31621 sayılı Resmî Gazetede yayımlanmıştır. Ayrıca, Paris Anlaşması’na ilişkin Onay Belgesi ve Ulusal Beyanımız 11 Ekim 2021 tarihinde Anlaşma </w:t>
      </w:r>
      <w:proofErr w:type="spellStart"/>
      <w:r w:rsidRPr="00EA441A">
        <w:rPr>
          <w:rFonts w:ascii="Roboto" w:eastAsia="Times New Roman" w:hAnsi="Roboto" w:cs="Times New Roman"/>
          <w:color w:val="333333"/>
          <w:kern w:val="0"/>
          <w:sz w:val="21"/>
          <w:szCs w:val="21"/>
          <w:lang w:eastAsia="tr-TR"/>
          <w14:ligatures w14:val="none"/>
        </w:rPr>
        <w:t>Depoziteri</w:t>
      </w:r>
      <w:proofErr w:type="spellEnd"/>
      <w:r w:rsidRPr="00EA441A">
        <w:rPr>
          <w:rFonts w:ascii="Roboto" w:eastAsia="Times New Roman" w:hAnsi="Roboto" w:cs="Times New Roman"/>
          <w:color w:val="333333"/>
          <w:kern w:val="0"/>
          <w:sz w:val="21"/>
          <w:szCs w:val="21"/>
          <w:lang w:eastAsia="tr-TR"/>
          <w14:ligatures w14:val="none"/>
        </w:rPr>
        <w:t xml:space="preserve"> olan Birleşmiş Milletler Genel Sekreterine tevdii edilmiştir. Anlaşma’nın 30 günlük </w:t>
      </w:r>
      <w:proofErr w:type="spellStart"/>
      <w:r w:rsidRPr="00EA441A">
        <w:rPr>
          <w:rFonts w:ascii="Roboto" w:eastAsia="Times New Roman" w:hAnsi="Roboto" w:cs="Times New Roman"/>
          <w:color w:val="333333"/>
          <w:kern w:val="0"/>
          <w:sz w:val="21"/>
          <w:szCs w:val="21"/>
          <w:lang w:eastAsia="tr-TR"/>
          <w14:ligatures w14:val="none"/>
        </w:rPr>
        <w:t>depoziter</w:t>
      </w:r>
      <w:proofErr w:type="spellEnd"/>
      <w:r w:rsidRPr="00EA441A">
        <w:rPr>
          <w:rFonts w:ascii="Roboto" w:eastAsia="Times New Roman" w:hAnsi="Roboto" w:cs="Times New Roman"/>
          <w:color w:val="333333"/>
          <w:kern w:val="0"/>
          <w:sz w:val="21"/>
          <w:szCs w:val="21"/>
          <w:lang w:eastAsia="tr-TR"/>
          <w14:ligatures w14:val="none"/>
        </w:rPr>
        <w:t xml:space="preserve"> süresi 10 Kasım’da sona ermiştir ve bu tarihte Türkiye Paris Anlaşmasına taraf olmuştur</w:t>
      </w:r>
    </w:p>
    <w:p w14:paraId="2D7A07A3" w14:textId="77777777" w:rsidR="00EA441A" w:rsidRPr="00EA441A" w:rsidRDefault="00EA441A" w:rsidP="00EA441A">
      <w:pPr>
        <w:shd w:val="clear" w:color="auto" w:fill="FFFFFF"/>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Tablo: Paris Anlaşması’nın maddeleri</w:t>
      </w:r>
    </w:p>
    <w:tbl>
      <w:tblPr>
        <w:tblW w:w="17100" w:type="dxa"/>
        <w:tblInd w:w="-142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2162"/>
        <w:gridCol w:w="2958"/>
        <w:gridCol w:w="3243"/>
        <w:gridCol w:w="2647"/>
        <w:gridCol w:w="2702"/>
        <w:gridCol w:w="2647"/>
      </w:tblGrid>
      <w:tr w:rsidR="00EA441A" w:rsidRPr="00EA441A" w14:paraId="128033F6" w14:textId="77777777" w:rsidTr="00EA441A">
        <w:tc>
          <w:tcPr>
            <w:tcW w:w="741" w:type="dxa"/>
            <w:vMerge w:val="restart"/>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3D83CC82"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c>
          <w:tcPr>
            <w:tcW w:w="16359" w:type="dxa"/>
            <w:gridSpan w:val="6"/>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4497E55"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Başlangıç</w:t>
            </w:r>
          </w:p>
        </w:tc>
      </w:tr>
      <w:tr w:rsidR="00EA441A" w:rsidRPr="00EA441A" w14:paraId="049C5CE5" w14:textId="77777777" w:rsidTr="00EA441A">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5B5616DE" w14:textId="77777777" w:rsidR="00EA441A" w:rsidRPr="00EA441A" w:rsidRDefault="00EA441A" w:rsidP="00EA441A">
            <w:pPr>
              <w:spacing w:after="0" w:line="240" w:lineRule="auto"/>
              <w:rPr>
                <w:rFonts w:ascii="Roboto" w:eastAsia="Times New Roman" w:hAnsi="Roboto" w:cs="Times New Roman"/>
                <w:color w:val="333333"/>
                <w:kern w:val="0"/>
                <w:sz w:val="21"/>
                <w:szCs w:val="21"/>
                <w:lang w:eastAsia="tr-TR"/>
                <w14:ligatures w14:val="none"/>
              </w:rPr>
            </w:pPr>
          </w:p>
        </w:tc>
        <w:tc>
          <w:tcPr>
            <w:tcW w:w="16359" w:type="dxa"/>
            <w:gridSpan w:val="6"/>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0B82CD3"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Amaç (Madde 2)</w:t>
            </w:r>
          </w:p>
        </w:tc>
      </w:tr>
      <w:tr w:rsidR="00EA441A" w:rsidRPr="00EA441A" w14:paraId="1F292038" w14:textId="77777777" w:rsidTr="00EA441A">
        <w:tc>
          <w:tcPr>
            <w:tcW w:w="741" w:type="dxa"/>
            <w:vMerge w:val="restart"/>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7DA4602E"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K</w:t>
            </w:r>
          </w:p>
          <w:p w14:paraId="260ABE3F"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a</w:t>
            </w:r>
            <w:proofErr w:type="gramEnd"/>
          </w:p>
          <w:p w14:paraId="05314258"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p</w:t>
            </w:r>
            <w:proofErr w:type="gramEnd"/>
          </w:p>
          <w:p w14:paraId="4DCADA12"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a</w:t>
            </w:r>
            <w:proofErr w:type="gramEnd"/>
          </w:p>
          <w:p w14:paraId="7A1CD5E7"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s</w:t>
            </w:r>
            <w:proofErr w:type="gramEnd"/>
          </w:p>
          <w:p w14:paraId="3F46F84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i</w:t>
            </w:r>
            <w:proofErr w:type="gramEnd"/>
          </w:p>
          <w:p w14:paraId="20B085B4"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t</w:t>
            </w:r>
            <w:proofErr w:type="gramEnd"/>
          </w:p>
          <w:p w14:paraId="2F061B2A"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proofErr w:type="gramStart"/>
            <w:r w:rsidRPr="00EA441A">
              <w:rPr>
                <w:rFonts w:ascii="Roboto" w:eastAsia="Times New Roman" w:hAnsi="Roboto" w:cs="Times New Roman"/>
                <w:color w:val="333333"/>
                <w:kern w:val="0"/>
                <w:sz w:val="21"/>
                <w:szCs w:val="21"/>
                <w:lang w:eastAsia="tr-TR"/>
                <w14:ligatures w14:val="none"/>
              </w:rPr>
              <w:t>e</w:t>
            </w:r>
            <w:proofErr w:type="gramEnd"/>
          </w:p>
        </w:tc>
        <w:tc>
          <w:tcPr>
            <w:tcW w:w="13712" w:type="dxa"/>
            <w:gridSpan w:val="5"/>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184CECC2"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Ulusal Katkılar (Madde 3)</w:t>
            </w:r>
          </w:p>
        </w:tc>
        <w:tc>
          <w:tcPr>
            <w:tcW w:w="2647"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A23816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r>
      <w:tr w:rsidR="00EA441A" w:rsidRPr="00EA441A" w14:paraId="79FE16DC" w14:textId="77777777" w:rsidTr="00EA441A">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07C5D439" w14:textId="77777777" w:rsidR="00EA441A" w:rsidRPr="00EA441A" w:rsidRDefault="00EA441A" w:rsidP="00EA441A">
            <w:pPr>
              <w:spacing w:after="0" w:line="240" w:lineRule="auto"/>
              <w:rPr>
                <w:rFonts w:ascii="Roboto" w:eastAsia="Times New Roman" w:hAnsi="Roboto" w:cs="Times New Roman"/>
                <w:color w:val="333333"/>
                <w:kern w:val="0"/>
                <w:sz w:val="21"/>
                <w:szCs w:val="21"/>
                <w:lang w:eastAsia="tr-TR"/>
                <w14:ligatures w14:val="none"/>
              </w:rPr>
            </w:pPr>
          </w:p>
        </w:tc>
        <w:tc>
          <w:tcPr>
            <w:tcW w:w="216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B6B33F2"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Azaltım (Madde 4)</w:t>
            </w:r>
          </w:p>
        </w:tc>
        <w:tc>
          <w:tcPr>
            <w:tcW w:w="2958"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AB4AF51"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Uyum</w:t>
            </w:r>
          </w:p>
          <w:p w14:paraId="30B69F8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(Madde 7)</w:t>
            </w:r>
          </w:p>
        </w:tc>
        <w:tc>
          <w:tcPr>
            <w:tcW w:w="32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913B7FE"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Finansman</w:t>
            </w:r>
          </w:p>
          <w:p w14:paraId="348667F6"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(Madde 9)</w:t>
            </w:r>
          </w:p>
        </w:tc>
        <w:tc>
          <w:tcPr>
            <w:tcW w:w="264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34F164B"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Teknoloji</w:t>
            </w:r>
          </w:p>
          <w:p w14:paraId="2C17117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(Madde 10)</w:t>
            </w:r>
          </w:p>
        </w:tc>
        <w:tc>
          <w:tcPr>
            <w:tcW w:w="270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C06C4E0"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Kapasite Geliştirme</w:t>
            </w:r>
          </w:p>
          <w:p w14:paraId="7ABB7E64"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(Madde 11)</w:t>
            </w:r>
          </w:p>
        </w:tc>
        <w:tc>
          <w:tcPr>
            <w:tcW w:w="264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5ECCB4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Kayıp ve Zarar</w:t>
            </w:r>
          </w:p>
          <w:p w14:paraId="683FFDF2"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(Madde 8)</w:t>
            </w:r>
          </w:p>
        </w:tc>
      </w:tr>
      <w:tr w:rsidR="00EA441A" w:rsidRPr="00EA441A" w14:paraId="5E6DB09F" w14:textId="77777777" w:rsidTr="00EA441A">
        <w:tc>
          <w:tcPr>
            <w:tcW w:w="0" w:type="auto"/>
            <w:vMerge/>
            <w:tcBorders>
              <w:top w:val="single" w:sz="6" w:space="0" w:color="DDDDDD"/>
              <w:left w:val="single" w:sz="6" w:space="0" w:color="DDDDDD"/>
              <w:bottom w:val="single" w:sz="6" w:space="0" w:color="DDDDDD"/>
              <w:right w:val="single" w:sz="6" w:space="0" w:color="DDDDDD"/>
            </w:tcBorders>
            <w:shd w:val="clear" w:color="auto" w:fill="F9F9F9"/>
            <w:vAlign w:val="center"/>
            <w:hideMark/>
          </w:tcPr>
          <w:p w14:paraId="23BFEFFB" w14:textId="77777777" w:rsidR="00EA441A" w:rsidRPr="00EA441A" w:rsidRDefault="00EA441A" w:rsidP="00EA441A">
            <w:pPr>
              <w:spacing w:after="0" w:line="240" w:lineRule="auto"/>
              <w:rPr>
                <w:rFonts w:ascii="Roboto" w:eastAsia="Times New Roman" w:hAnsi="Roboto" w:cs="Times New Roman"/>
                <w:color w:val="333333"/>
                <w:kern w:val="0"/>
                <w:sz w:val="21"/>
                <w:szCs w:val="21"/>
                <w:lang w:eastAsia="tr-TR"/>
                <w14:ligatures w14:val="none"/>
              </w:rPr>
            </w:pPr>
          </w:p>
        </w:tc>
        <w:tc>
          <w:tcPr>
            <w:tcW w:w="2162"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156645FB"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Ulusal Katkılar (NDC)</w:t>
            </w:r>
          </w:p>
        </w:tc>
        <w:tc>
          <w:tcPr>
            <w:tcW w:w="2958"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F9760D7"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Uyum Amacı</w:t>
            </w:r>
          </w:p>
          <w:p w14:paraId="3D6AC37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Uyum Çerçevesi</w:t>
            </w:r>
          </w:p>
          <w:p w14:paraId="43DA72C5"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Uyum Planlama</w:t>
            </w:r>
          </w:p>
          <w:p w14:paraId="2E71B9AC"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Uyum Bildirimi</w:t>
            </w:r>
          </w:p>
        </w:tc>
        <w:tc>
          <w:tcPr>
            <w:tcW w:w="3243"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BECC79C"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Uzun Erimli Finansman</w:t>
            </w:r>
          </w:p>
          <w:p w14:paraId="25B29A7E"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Yeşil İklim Fonu</w:t>
            </w:r>
          </w:p>
          <w:p w14:paraId="4FDDA00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İklim Finansmanı Raporlama</w:t>
            </w:r>
          </w:p>
        </w:tc>
        <w:tc>
          <w:tcPr>
            <w:tcW w:w="2647"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451E91E"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Uzun erimli Teknoloji Vizyonu</w:t>
            </w:r>
          </w:p>
          <w:p w14:paraId="5568E7EF"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Teknoloji Mekanizması</w:t>
            </w:r>
          </w:p>
          <w:p w14:paraId="349692F8"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Teknoloji Çerçevesi</w:t>
            </w:r>
          </w:p>
        </w:tc>
        <w:tc>
          <w:tcPr>
            <w:tcW w:w="2702"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F90F117"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Paris Kapasite Geliştirme Çerçevesi</w:t>
            </w:r>
          </w:p>
        </w:tc>
        <w:tc>
          <w:tcPr>
            <w:tcW w:w="2647"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467DAD49"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Kayıp ve Zarar Mekanizması</w:t>
            </w:r>
          </w:p>
        </w:tc>
      </w:tr>
      <w:tr w:rsidR="00EA441A" w:rsidRPr="00EA441A" w14:paraId="2345991F" w14:textId="77777777" w:rsidTr="00EA441A">
        <w:tc>
          <w:tcPr>
            <w:tcW w:w="0" w:type="auto"/>
            <w:vMerge/>
            <w:tcBorders>
              <w:top w:val="single" w:sz="6" w:space="0" w:color="DDDDDD"/>
              <w:left w:val="single" w:sz="6" w:space="0" w:color="DDDDDD"/>
              <w:bottom w:val="single" w:sz="6" w:space="0" w:color="DDDDDD"/>
              <w:right w:val="single" w:sz="6" w:space="0" w:color="DDDDDD"/>
            </w:tcBorders>
            <w:shd w:val="clear" w:color="auto" w:fill="FFFFFF"/>
            <w:vAlign w:val="center"/>
            <w:hideMark/>
          </w:tcPr>
          <w:p w14:paraId="311D9B34" w14:textId="77777777" w:rsidR="00EA441A" w:rsidRPr="00EA441A" w:rsidRDefault="00EA441A" w:rsidP="00EA441A">
            <w:pPr>
              <w:spacing w:after="0" w:line="240" w:lineRule="auto"/>
              <w:rPr>
                <w:rFonts w:ascii="Roboto" w:eastAsia="Times New Roman" w:hAnsi="Roboto" w:cs="Times New Roman"/>
                <w:color w:val="333333"/>
                <w:kern w:val="0"/>
                <w:sz w:val="21"/>
                <w:szCs w:val="21"/>
                <w:lang w:eastAsia="tr-TR"/>
                <w14:ligatures w14:val="none"/>
              </w:rPr>
            </w:pPr>
          </w:p>
        </w:tc>
        <w:tc>
          <w:tcPr>
            <w:tcW w:w="13712" w:type="dxa"/>
            <w:gridSpan w:val="5"/>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7D7F2C1"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Güçlendirilmiş Saydamlık Çerçevesi (</w:t>
            </w:r>
            <w:proofErr w:type="spellStart"/>
            <w:r w:rsidRPr="00EA441A">
              <w:rPr>
                <w:rFonts w:ascii="Roboto" w:eastAsia="Times New Roman" w:hAnsi="Roboto" w:cs="Times New Roman"/>
                <w:color w:val="333333"/>
                <w:kern w:val="0"/>
                <w:sz w:val="21"/>
                <w:szCs w:val="21"/>
                <w:lang w:eastAsia="tr-TR"/>
                <w14:ligatures w14:val="none"/>
              </w:rPr>
              <w:t>Transparency</w:t>
            </w:r>
            <w:proofErr w:type="spellEnd"/>
            <w:r w:rsidRPr="00EA441A">
              <w:rPr>
                <w:rFonts w:ascii="Roboto" w:eastAsia="Times New Roman" w:hAnsi="Roboto" w:cs="Times New Roman"/>
                <w:color w:val="333333"/>
                <w:kern w:val="0"/>
                <w:sz w:val="21"/>
                <w:szCs w:val="21"/>
                <w:lang w:eastAsia="tr-TR"/>
                <w14:ligatures w14:val="none"/>
              </w:rPr>
              <w:t>)(Madde 13)</w:t>
            </w:r>
          </w:p>
        </w:tc>
        <w:tc>
          <w:tcPr>
            <w:tcW w:w="2647"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288C04A"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r>
      <w:tr w:rsidR="00EA441A" w:rsidRPr="00EA441A" w14:paraId="1A0B0381" w14:textId="77777777" w:rsidTr="00EA441A">
        <w:tc>
          <w:tcPr>
            <w:tcW w:w="0" w:type="auto"/>
            <w:vMerge/>
            <w:tcBorders>
              <w:top w:val="single" w:sz="6" w:space="0" w:color="DDDDDD"/>
              <w:left w:val="single" w:sz="6" w:space="0" w:color="DDDDDD"/>
              <w:bottom w:val="single" w:sz="6" w:space="0" w:color="DDDDDD"/>
              <w:right w:val="single" w:sz="6" w:space="0" w:color="DDDDDD"/>
            </w:tcBorders>
            <w:shd w:val="clear" w:color="auto" w:fill="F9F9F9"/>
            <w:vAlign w:val="center"/>
            <w:hideMark/>
          </w:tcPr>
          <w:p w14:paraId="4010039E" w14:textId="77777777" w:rsidR="00EA441A" w:rsidRPr="00EA441A" w:rsidRDefault="00EA441A" w:rsidP="00EA441A">
            <w:pPr>
              <w:spacing w:after="0" w:line="240" w:lineRule="auto"/>
              <w:rPr>
                <w:rFonts w:ascii="Roboto" w:eastAsia="Times New Roman" w:hAnsi="Roboto" w:cs="Times New Roman"/>
                <w:color w:val="333333"/>
                <w:kern w:val="0"/>
                <w:sz w:val="21"/>
                <w:szCs w:val="21"/>
                <w:lang w:eastAsia="tr-TR"/>
                <w14:ligatures w14:val="none"/>
              </w:rPr>
            </w:pPr>
          </w:p>
        </w:tc>
        <w:tc>
          <w:tcPr>
            <w:tcW w:w="13712" w:type="dxa"/>
            <w:gridSpan w:val="5"/>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41679792"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Uygulama ve Uygunluk (</w:t>
            </w:r>
            <w:proofErr w:type="spellStart"/>
            <w:r w:rsidRPr="00EA441A">
              <w:rPr>
                <w:rFonts w:ascii="Roboto" w:eastAsia="Times New Roman" w:hAnsi="Roboto" w:cs="Times New Roman"/>
                <w:color w:val="333333"/>
                <w:kern w:val="0"/>
                <w:sz w:val="21"/>
                <w:szCs w:val="21"/>
                <w:lang w:eastAsia="tr-TR"/>
                <w14:ligatures w14:val="none"/>
              </w:rPr>
              <w:t>Compliance</w:t>
            </w:r>
            <w:proofErr w:type="spellEnd"/>
            <w:r w:rsidRPr="00EA441A">
              <w:rPr>
                <w:rFonts w:ascii="Roboto" w:eastAsia="Times New Roman" w:hAnsi="Roboto" w:cs="Times New Roman"/>
                <w:color w:val="333333"/>
                <w:kern w:val="0"/>
                <w:sz w:val="21"/>
                <w:szCs w:val="21"/>
                <w:lang w:eastAsia="tr-TR"/>
                <w14:ligatures w14:val="none"/>
              </w:rPr>
              <w:t>) (Madde 15)</w:t>
            </w:r>
          </w:p>
        </w:tc>
        <w:tc>
          <w:tcPr>
            <w:tcW w:w="2647"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3E2E8758"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r>
      <w:tr w:rsidR="00EA441A" w:rsidRPr="00EA441A" w14:paraId="46FD3E75" w14:textId="77777777" w:rsidTr="00EA441A">
        <w:tc>
          <w:tcPr>
            <w:tcW w:w="741" w:type="dxa"/>
            <w:tcBorders>
              <w:top w:val="single" w:sz="6" w:space="0" w:color="DDDDDD"/>
              <w:left w:val="single" w:sz="6" w:space="0" w:color="DDDDDD"/>
              <w:bottom w:val="single" w:sz="6" w:space="0" w:color="DDDDDD"/>
              <w:right w:val="single" w:sz="6" w:space="0" w:color="DDDDDD"/>
            </w:tcBorders>
            <w:shd w:val="clear" w:color="auto" w:fill="F5F5F5"/>
            <w:tcMar>
              <w:top w:w="75" w:type="dxa"/>
              <w:left w:w="75" w:type="dxa"/>
              <w:bottom w:w="75" w:type="dxa"/>
              <w:right w:w="75" w:type="dxa"/>
            </w:tcMar>
            <w:hideMark/>
          </w:tcPr>
          <w:p w14:paraId="339218BF"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c>
          <w:tcPr>
            <w:tcW w:w="13712" w:type="dxa"/>
            <w:gridSpan w:val="5"/>
            <w:tcBorders>
              <w:top w:val="single" w:sz="6" w:space="0" w:color="DDDDDD"/>
              <w:left w:val="single" w:sz="6" w:space="0" w:color="DDDDDD"/>
              <w:bottom w:val="single" w:sz="6" w:space="0" w:color="DDDDDD"/>
              <w:right w:val="single" w:sz="6" w:space="0" w:color="DDDDDD"/>
            </w:tcBorders>
            <w:shd w:val="clear" w:color="auto" w:fill="F5F5F5"/>
            <w:tcMar>
              <w:top w:w="75" w:type="dxa"/>
              <w:left w:w="75" w:type="dxa"/>
              <w:bottom w:w="75" w:type="dxa"/>
              <w:right w:w="75" w:type="dxa"/>
            </w:tcMar>
            <w:hideMark/>
          </w:tcPr>
          <w:p w14:paraId="06CC29A9" w14:textId="77777777" w:rsidR="00EA441A" w:rsidRPr="00EA441A" w:rsidRDefault="00EA441A" w:rsidP="00EA441A">
            <w:pPr>
              <w:spacing w:after="150" w:line="240" w:lineRule="auto"/>
              <w:jc w:val="center"/>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xml:space="preserve">Küresel Durum Değerlendirmesi (Global </w:t>
            </w:r>
            <w:proofErr w:type="spellStart"/>
            <w:r w:rsidRPr="00EA441A">
              <w:rPr>
                <w:rFonts w:ascii="Roboto" w:eastAsia="Times New Roman" w:hAnsi="Roboto" w:cs="Times New Roman"/>
                <w:color w:val="333333"/>
                <w:kern w:val="0"/>
                <w:sz w:val="21"/>
                <w:szCs w:val="21"/>
                <w:lang w:eastAsia="tr-TR"/>
                <w14:ligatures w14:val="none"/>
              </w:rPr>
              <w:t>Stocktake</w:t>
            </w:r>
            <w:proofErr w:type="spellEnd"/>
            <w:r w:rsidRPr="00EA441A">
              <w:rPr>
                <w:rFonts w:ascii="Roboto" w:eastAsia="Times New Roman" w:hAnsi="Roboto" w:cs="Times New Roman"/>
                <w:color w:val="333333"/>
                <w:kern w:val="0"/>
                <w:sz w:val="21"/>
                <w:szCs w:val="21"/>
                <w:lang w:eastAsia="tr-TR"/>
                <w14:ligatures w14:val="none"/>
              </w:rPr>
              <w:t>) (Madde 14)</w:t>
            </w:r>
          </w:p>
        </w:tc>
        <w:tc>
          <w:tcPr>
            <w:tcW w:w="2647" w:type="dxa"/>
            <w:tcBorders>
              <w:top w:val="single" w:sz="6" w:space="0" w:color="DDDDDD"/>
              <w:left w:val="single" w:sz="6" w:space="0" w:color="DDDDDD"/>
              <w:bottom w:val="single" w:sz="6" w:space="0" w:color="DDDDDD"/>
              <w:right w:val="single" w:sz="6" w:space="0" w:color="DDDDDD"/>
            </w:tcBorders>
            <w:shd w:val="clear" w:color="auto" w:fill="F5F5F5"/>
            <w:tcMar>
              <w:top w:w="75" w:type="dxa"/>
              <w:left w:w="75" w:type="dxa"/>
              <w:bottom w:w="75" w:type="dxa"/>
              <w:right w:w="75" w:type="dxa"/>
            </w:tcMar>
            <w:hideMark/>
          </w:tcPr>
          <w:p w14:paraId="6166FCCD" w14:textId="77777777" w:rsidR="00EA441A" w:rsidRPr="00EA441A" w:rsidRDefault="00EA441A" w:rsidP="00EA441A">
            <w:pPr>
              <w:spacing w:after="150" w:line="240" w:lineRule="auto"/>
              <w:rPr>
                <w:rFonts w:ascii="Roboto" w:eastAsia="Times New Roman" w:hAnsi="Roboto" w:cs="Times New Roman"/>
                <w:color w:val="333333"/>
                <w:kern w:val="0"/>
                <w:sz w:val="21"/>
                <w:szCs w:val="21"/>
                <w:lang w:eastAsia="tr-TR"/>
                <w14:ligatures w14:val="none"/>
              </w:rPr>
            </w:pPr>
            <w:r w:rsidRPr="00EA441A">
              <w:rPr>
                <w:rFonts w:ascii="Roboto" w:eastAsia="Times New Roman" w:hAnsi="Roboto" w:cs="Times New Roman"/>
                <w:color w:val="333333"/>
                <w:kern w:val="0"/>
                <w:sz w:val="21"/>
                <w:szCs w:val="21"/>
                <w:lang w:eastAsia="tr-TR"/>
                <w14:ligatures w14:val="none"/>
              </w:rPr>
              <w:t> </w:t>
            </w:r>
          </w:p>
        </w:tc>
      </w:tr>
    </w:tbl>
    <w:p w14:paraId="7FEB940F" w14:textId="77777777" w:rsidR="00941DF7" w:rsidRDefault="00941DF7"/>
    <w:sectPr w:rsidR="00941D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41"/>
    <w:rsid w:val="008003A0"/>
    <w:rsid w:val="00941DF7"/>
    <w:rsid w:val="009B7841"/>
    <w:rsid w:val="00AD54E6"/>
    <w:rsid w:val="00EA44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0A665-625F-4835-8D0C-3E90A5A3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B7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B7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B784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B784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B784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B784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784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784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784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784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B784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B784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B784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B784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B784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784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784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7841"/>
    <w:rPr>
      <w:rFonts w:eastAsiaTheme="majorEastAsia" w:cstheme="majorBidi"/>
      <w:color w:val="272727" w:themeColor="text1" w:themeTint="D8"/>
    </w:rPr>
  </w:style>
  <w:style w:type="paragraph" w:styleId="KonuBal">
    <w:name w:val="Title"/>
    <w:basedOn w:val="Normal"/>
    <w:next w:val="Normal"/>
    <w:link w:val="KonuBalChar"/>
    <w:uiPriority w:val="10"/>
    <w:qFormat/>
    <w:rsid w:val="009B7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784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784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784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784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7841"/>
    <w:rPr>
      <w:i/>
      <w:iCs/>
      <w:color w:val="404040" w:themeColor="text1" w:themeTint="BF"/>
    </w:rPr>
  </w:style>
  <w:style w:type="paragraph" w:styleId="ListeParagraf">
    <w:name w:val="List Paragraph"/>
    <w:basedOn w:val="Normal"/>
    <w:uiPriority w:val="34"/>
    <w:qFormat/>
    <w:rsid w:val="009B7841"/>
    <w:pPr>
      <w:ind w:left="720"/>
      <w:contextualSpacing/>
    </w:pPr>
  </w:style>
  <w:style w:type="character" w:styleId="GlVurgulama">
    <w:name w:val="Intense Emphasis"/>
    <w:basedOn w:val="VarsaylanParagrafYazTipi"/>
    <w:uiPriority w:val="21"/>
    <w:qFormat/>
    <w:rsid w:val="009B7841"/>
    <w:rPr>
      <w:i/>
      <w:iCs/>
      <w:color w:val="0F4761" w:themeColor="accent1" w:themeShade="BF"/>
    </w:rPr>
  </w:style>
  <w:style w:type="paragraph" w:styleId="GlAlnt">
    <w:name w:val="Intense Quote"/>
    <w:basedOn w:val="Normal"/>
    <w:next w:val="Normal"/>
    <w:link w:val="GlAlntChar"/>
    <w:uiPriority w:val="30"/>
    <w:qFormat/>
    <w:rsid w:val="009B7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B7841"/>
    <w:rPr>
      <w:i/>
      <w:iCs/>
      <w:color w:val="0F4761" w:themeColor="accent1" w:themeShade="BF"/>
    </w:rPr>
  </w:style>
  <w:style w:type="character" w:styleId="GlBavuru">
    <w:name w:val="Intense Reference"/>
    <w:basedOn w:val="VarsaylanParagrafYazTipi"/>
    <w:uiPriority w:val="32"/>
    <w:qFormat/>
    <w:rsid w:val="009B7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HAKKI KELEŞ</dc:creator>
  <cp:keywords/>
  <dc:description/>
  <cp:lastModifiedBy>İBRAHİM HAKKI KELEŞ</cp:lastModifiedBy>
  <cp:revision>2</cp:revision>
  <dcterms:created xsi:type="dcterms:W3CDTF">2026-05-29T12:15:00Z</dcterms:created>
  <dcterms:modified xsi:type="dcterms:W3CDTF">2026-05-29T12:16:00Z</dcterms:modified>
</cp:coreProperties>
</file>