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jc w:val="center"/>
      </w:pPr>
      <w:r>
        <w:rPr>
          <w:rFonts w:ascii="Times New Roman" w:hAnsi="Times New Roman"/>
          <w:b/>
          <w:sz w:val="22"/>
        </w:rPr>
        <w:t>CENTRO DE APOIO OPERACIONAL CÍVEL E DO PATRIMÔNIO PÚBLICO</w:t>
      </w:r>
    </w:p>
    <w:p>
      <w:pPr>
        <w:spacing w:after="240" w:before="0"/>
        <w:jc w:val="center"/>
      </w:pPr>
      <w:r>
        <w:rPr>
          <w:rFonts w:ascii="Times New Roman" w:hAnsi="Times New Roman"/>
          <w:b w:val="0"/>
          <w:sz w:val="22"/>
        </w:rPr>
        <w:t>CENTRO DE APOIO OPERACIONAL CÍVEL E DO PATRIMÔNIO PÚBLICO</w:t>
      </w:r>
    </w:p>
    <w:p>
      <w:pPr>
        <w:spacing w:after="240"/>
        <w:jc w:val="left"/>
      </w:pPr>
      <w:r>
        <w:rPr>
          <w:rFonts w:ascii="Times New Roman" w:hAnsi="Times New Roman"/>
          <w:b/>
          <w:sz w:val="22"/>
        </w:rPr>
        <w:t xml:space="preserve">Observação: </w:t>
      </w:r>
      <w:r>
        <w:rPr>
          <w:rFonts w:ascii="Times New Roman" w:hAnsi="Times New Roman"/>
          <w:b w:val="0"/>
          <w:sz w:val="22"/>
        </w:rPr>
        <w:t>Aplica-se à presente manifestação a previsão do inciso IV do artigo 2º da Ordem de Serviço nº 02/2015, assim resumido: as respostas dos CAOs às perguntas não devem fazer parte dos autos da investigação ou processo, podendo os argumentos ser acolhidos pelo consulente e utilizados como se do consulente fossem.</w:t>
      </w:r>
    </w:p>
    <w:p>
      <w:pPr>
        <w:spacing w:after="240" w:before="0"/>
        <w:jc w:val="center"/>
      </w:pPr>
      <w:r>
        <w:rPr>
          <w:rFonts w:ascii="Times New Roman" w:hAnsi="Times New Roman"/>
          <w:b w:val="0"/>
          <w:sz w:val="16"/>
        </w:rPr>
        <w:t>━━━━━━━━━━━━━━━━━━━━━━━━━━━━━━━━━━━━━━━━━━━━━━━━━━━━━━━━━━━━━━━━━━━━</w:t>
      </w:r>
    </w:p>
    <w:p>
      <w:pPr>
        <w:spacing w:after="360" w:before="0"/>
        <w:jc w:val="center"/>
      </w:pPr>
      <w:r>
        <w:rPr>
          <w:rFonts w:ascii="Times New Roman" w:hAnsi="Times New Roman"/>
          <w:b/>
          <w:sz w:val="26"/>
        </w:rPr>
        <w:t>INFORMAÇÃO TÉCNICO-JURÍDICA</w:t>
      </w:r>
    </w:p>
    <w:p>
      <w:pPr>
        <w:spacing w:after="240" w:before="0"/>
        <w:jc w:val="left"/>
      </w:pPr>
      <w:r>
        <w:rPr>
          <w:rFonts w:ascii="Times New Roman" w:hAnsi="Times New Roman"/>
          <w:b w:val="0"/>
          <w:sz w:val="24"/>
        </w:rPr>
        <w:t>Senhor Promotor de Justiça:</w:t>
      </w:r>
    </w:p>
    <w:p>
      <w:pPr>
        <w:spacing w:after="240" w:before="360"/>
        <w:jc w:val="center"/>
      </w:pPr>
      <w:r>
        <w:rPr>
          <w:rFonts w:ascii="Times New Roman" w:hAnsi="Times New Roman"/>
          <w:b/>
          <w:sz w:val="26"/>
        </w:rPr>
        <w:t>RELATÓRIO</w:t>
      </w:r>
    </w:p>
    <w:p>
      <w:pPr>
        <w:spacing w:after="120" w:before="0"/>
        <w:ind w:firstLine="850"/>
        <w:jc w:val="both"/>
      </w:pPr>
      <w:r>
        <w:rPr>
          <w:rFonts w:ascii="Times New Roman" w:hAnsi="Times New Roman"/>
          <w:b w:val="0"/>
          <w:sz w:val="24"/>
        </w:rPr>
        <w:t>Trata-se de consulta apresentada a este Centro de Apoio Operacional Cível e do Patrimônio Público, nos seguintes termos: possível prática de nepotismo envolvendo prefeito municipal e vereadora, com quem mantinha relacionamento afetivo e que foi nomeada para o cargo de Secretária de Saúde, questionando-se se a situação configura nepotismo ou violação aos princípios constitucionais, bem como se a mera existência de relacionamento afetivo configura nepotismo.</w:t>
      </w:r>
    </w:p>
    <w:p>
      <w:pPr>
        <w:spacing w:after="120" w:before="0"/>
        <w:ind w:firstLine="850"/>
        <w:jc w:val="both"/>
      </w:pPr>
      <w:r>
        <w:rPr>
          <w:rFonts w:ascii="Times New Roman" w:hAnsi="Times New Roman"/>
          <w:b w:val="0"/>
          <w:sz w:val="24"/>
        </w:rPr>
        <w:t>Os fatos apurados indicam que prefeito municipal nomeou vereadora para exercer o cargo de Secretária Municipal de Saúde, sendo que ambos mantêm relacionamento afetivo notório na comunidade local. A vereadora permanece no exercício simultâneo do mandato legislativo e do cargo executivo, criando potencial conflito entre as funções de fiscalização legislativa e gestão administrativa.</w:t>
      </w:r>
    </w:p>
    <w:p>
      <w:pPr>
        <w:spacing w:after="120" w:before="0"/>
        <w:ind w:firstLine="850"/>
        <w:jc w:val="both"/>
      </w:pPr>
      <w:r>
        <w:rPr>
          <w:rFonts w:ascii="Times New Roman" w:hAnsi="Times New Roman"/>
          <w:b w:val="0"/>
          <w:sz w:val="24"/>
        </w:rPr>
        <w:t>O relacionamento afetivo entre as autoridades é de conhecimento público, havendo indícios de estabilidade e duração que transcendem mero envolvimento casual. A situação apresenta características específicas de nepotismo cruzado, modalidade que se caracteriza pela troca de favores entre autoridades de poderes distintos, comprometendo a independência funcional exigida pela separação de poderes.</w:t>
      </w:r>
    </w:p>
    <w:p>
      <w:pPr>
        <w:spacing w:after="120" w:before="0"/>
        <w:ind w:firstLine="850"/>
        <w:jc w:val="both"/>
      </w:pPr>
      <w:r>
        <w:rPr>
          <w:rFonts w:ascii="Times New Roman" w:hAnsi="Times New Roman"/>
          <w:b w:val="0"/>
          <w:sz w:val="24"/>
        </w:rPr>
        <w:t>Nesse sentido, a nomeação da vereadora pelo prefeito com quem mantém relacionamento afetivo cria expectativa de reciprocidade nas votações legislativas, especialmente em matérias relacionadas à pasta da saúde que ela própria dirige. Nos termos da Ordem de Serviço n. 02/2015, as respostas formuladas pelos Centros de Apoio Operacional não produzem efeitos vinculantes e não devem fazer parte dos autos, podendo os argumentos ser acolhidos pelo consulente e utilizados como razões de decidir.</w:t>
      </w:r>
    </w:p>
    <w:p>
      <w:pPr>
        <w:spacing w:after="120" w:before="0"/>
        <w:ind w:firstLine="850"/>
        <w:jc w:val="both"/>
      </w:pPr>
      <w:r>
        <w:rPr>
          <w:rFonts w:ascii="Times New Roman" w:hAnsi="Times New Roman"/>
          <w:b w:val="0"/>
          <w:sz w:val="24"/>
        </w:rPr>
        <w:t>O escopo da presente análise abrange a verificação da configuração de nepotismo cruzado em relacionamento afetivo entre prefeito e vereadora, a análise de violação aos princípios constitucionais da impessoalidade e separação de poderes, a definição de critérios para caracterização de relacionamento afetivo juridicamente relevante, e a proposição de medidas ministeriais adequadas para o caso concreto.</w:t>
      </w:r>
    </w:p>
    <w:p>
      <w:pPr>
        <w:spacing w:after="240" w:before="360"/>
        <w:jc w:val="center"/>
      </w:pPr>
      <w:r>
        <w:rPr>
          <w:rFonts w:ascii="Times New Roman" w:hAnsi="Times New Roman"/>
          <w:b/>
          <w:sz w:val="26"/>
        </w:rPr>
        <w:t>FUNDAMENTAÇÃO JURÍDICA</w:t>
      </w:r>
    </w:p>
    <w:p>
      <w:pPr>
        <w:spacing w:after="120" w:before="240"/>
        <w:jc w:val="left"/>
      </w:pPr>
      <w:r>
        <w:rPr>
          <w:rFonts w:ascii="Times New Roman" w:hAnsi="Times New Roman"/>
          <w:b/>
          <w:sz w:val="24"/>
        </w:rPr>
        <w:t>CONFIGURAÇÃO DE NEPOTISMO CRUZADO EM RELACIONAMENTO AFETIVO ENTRE PREFEITO E VEREADORA</w:t>
      </w:r>
    </w:p>
    <w:p>
      <w:pPr>
        <w:spacing w:after="120" w:before="0"/>
        <w:ind w:firstLine="850"/>
        <w:jc w:val="both"/>
      </w:pPr>
      <w:r>
        <w:rPr>
          <w:rFonts w:ascii="Times New Roman" w:hAnsi="Times New Roman"/>
          <w:b w:val="0"/>
          <w:sz w:val="24"/>
        </w:rPr>
        <w:t>O nepotismo cruzado em relacionamento afetivo entre prefeito e vereadora apresenta características específicas que transcendem o nepotismo direto vedado pela Súmula Vinculante 13 do Supremo Tribunal Federal. Com efeito, conforme estabelecido nos fragmentos analisados, "o nepotismo cruzado ou transnepotismo" caracteriza-se pela troca de favores entre autoridades de poderes distintos, onde cada uma beneficia pessoas próximas da outra, burlando a vedação direta [Fonte: MPPR - Nepotismo superveniente.pdf].</w:t>
      </w:r>
    </w:p>
    <w:p>
      <w:pPr>
        <w:spacing w:after="120" w:before="0"/>
        <w:ind w:firstLine="850"/>
        <w:jc w:val="both"/>
      </w:pPr>
      <w:r>
        <w:rPr>
          <w:rFonts w:ascii="Times New Roman" w:hAnsi="Times New Roman"/>
          <w:b w:val="0"/>
          <w:sz w:val="24"/>
        </w:rPr>
        <w:t>No caso específico, a nomeação da vereadora pelo prefeito com quem mantém relacionamento afetivo cria expectativa de reciprocidade nas votações legislativas e compromete a fiscalização do Executivo pelo Legislativo municipal. A Súmula Vinculante 13 do STF estabelece que "a nomeação de cônjuge, companheiro ou parente em linha reta, colateral ou por afinidade, até o terceiro grau, inclusive, da autoridade nomeante ou de servidor da mesma pessoa jurídica investido em cargo de direção, chefia ou assessoramento, para o exercício de cargo em comissão ou de confiança ou, ainda, de função gratificada na administração pública direta e indireta em qualquer dos Poderes da União, dos Estados, do Distrito Federal e dos Municípios, compreendido o ajuste mediante designações recíprocas, viola a Constituição Federal".</w:t>
      </w:r>
    </w:p>
    <w:p>
      <w:pPr>
        <w:spacing w:after="120" w:before="0"/>
        <w:ind w:firstLine="850"/>
        <w:jc w:val="both"/>
      </w:pPr>
      <w:r>
        <w:rPr>
          <w:rFonts w:ascii="Times New Roman" w:hAnsi="Times New Roman"/>
          <w:b w:val="0"/>
          <w:sz w:val="24"/>
        </w:rPr>
        <w:t>Outrossim, a jurisprudência tem reconhecido que relacionamentos afetivos estáveis e notórios, mesmo sem formalização, podem configurar impedimento ético quando comprometem a impessoalidade administrativa, devendo o conceito ser interpretado teleologicamente para preservar a moralidade administrativa. Nessa esteira, conforme jurisprudência consolidada do STF sobre nepotismo cruzado, a aplicação da vedação estende-se mesmo em situações de reciprocidade indireta.</w:t>
      </w:r>
    </w:p>
    <w:p>
      <w:pPr>
        <w:spacing w:after="120" w:before="0"/>
        <w:ind w:firstLine="850"/>
        <w:jc w:val="both"/>
      </w:pPr>
      <w:r>
        <w:rPr>
          <w:rFonts w:ascii="Times New Roman" w:hAnsi="Times New Roman"/>
          <w:b w:val="0"/>
          <w:sz w:val="24"/>
        </w:rPr>
        <w:t>A fundamentação específica para nepotismo cruzado encontra-se na própria Súmula Vinculante 13, interpretada sistematicamente com o artigo 2º da Constituição Federal sobre separação de poderes, uma vez que a nomeação de vereadora pelo prefeito compromete a independência do Poder Legislativo municipal na fiscalização do Executivo.</w:t>
      </w:r>
    </w:p>
    <w:p>
      <w:pPr>
        <w:spacing w:after="120" w:before="240"/>
        <w:jc w:val="left"/>
      </w:pPr>
      <w:r>
        <w:rPr>
          <w:rFonts w:ascii="Times New Roman" w:hAnsi="Times New Roman"/>
          <w:b/>
          <w:sz w:val="24"/>
        </w:rPr>
        <w:t>VIOLAÇÃO ESPECÍFICA DA SEPARAÇÃO DE PODERES NO NEPOTISMO CRUZADO MUNICIPAL</w:t>
      </w:r>
    </w:p>
    <w:p>
      <w:pPr>
        <w:spacing w:after="120" w:before="0"/>
        <w:ind w:firstLine="850"/>
        <w:jc w:val="both"/>
      </w:pPr>
      <w:r>
        <w:rPr>
          <w:rFonts w:ascii="Times New Roman" w:hAnsi="Times New Roman"/>
          <w:b w:val="0"/>
          <w:sz w:val="24"/>
        </w:rPr>
        <w:t>A nomeação de vereadora pelo prefeito com quem mantém relacionamento afetivo viola especificamente o princípio da separação de poderes previsto no artigo 2º da Constituição Federal, criando confusão entre as funções legislativa e executiva no âmbito municipal. Dessa sorte, o Poder Legislativo municipal tem função constitucional de fiscalizar o Executivo, conforme estabelece o artigo 29, inciso XI, da Constituição Federal, especialmente nas políticas públicas de saúde, função que fica comprometida quando a vereadora ocupa simultaneamente cargo de Secretária de Saúde.</w:t>
      </w:r>
    </w:p>
    <w:p>
      <w:pPr>
        <w:spacing w:after="120" w:before="0"/>
        <w:ind w:firstLine="850"/>
        <w:jc w:val="both"/>
      </w:pPr>
      <w:r>
        <w:rPr>
          <w:rFonts w:ascii="Times New Roman" w:hAnsi="Times New Roman"/>
          <w:b w:val="0"/>
          <w:sz w:val="24"/>
        </w:rPr>
        <w:t>A independência funcional exigida pela separação de poderes é comprometida quando há vínculo afetivo entre nomeante e nomeada, impossibilitando o exercício adequado da função fiscalizatória sobre pasta que ela própria dirige, criando conflito de interesses institucional. Ademais, conforme estabelecido nos fragmentos, a vedação abrange os casos denominados de reciprocidade, demonstrando que a proibição se estende às situações onde há expectativa de favorecimento mútuo.</w:t>
      </w:r>
    </w:p>
    <w:p>
      <w:pPr>
        <w:spacing w:after="120" w:before="0"/>
        <w:ind w:firstLine="850"/>
        <w:jc w:val="both"/>
      </w:pPr>
      <w:r>
        <w:rPr>
          <w:rFonts w:ascii="Times New Roman" w:hAnsi="Times New Roman"/>
          <w:b w:val="0"/>
          <w:sz w:val="24"/>
        </w:rPr>
        <w:t>O fundamento constitucional específico encontra-se no artigo 2º da Constituição Federal, que estabelece a independência e harmonia entre os poderes, e no artigo 29, inciso XI, que atribui à Câmara Municipal função de fiscalização financeira, orçamentária e operacional do município. Importa destacar que a Lei 14.133/21 estabelece princípios de impessoalidade nas contratações públicas que se aplicam analogicamente às nomeações, reforçando a necessidade de observância da moralidade administrativa.</w:t>
      </w:r>
    </w:p>
    <w:p>
      <w:pPr>
        <w:spacing w:after="120" w:before="240"/>
        <w:jc w:val="left"/>
      </w:pPr>
      <w:r>
        <w:rPr>
          <w:rFonts w:ascii="Times New Roman" w:hAnsi="Times New Roman"/>
          <w:b/>
          <w:sz w:val="24"/>
        </w:rPr>
        <w:t>CRITÉRIOS ESPECÍFICOS PARA CARACTERIZAÇÃO DE RELACIONAMENTO AFETIVO EM NEPOTISMO CRUZADO</w:t>
      </w:r>
    </w:p>
    <w:p>
      <w:pPr>
        <w:spacing w:after="120" w:before="0"/>
        <w:ind w:firstLine="850"/>
        <w:jc w:val="both"/>
      </w:pPr>
      <w:r>
        <w:rPr>
          <w:rFonts w:ascii="Times New Roman" w:hAnsi="Times New Roman"/>
          <w:b w:val="0"/>
          <w:sz w:val="24"/>
        </w:rPr>
        <w:t>Para caracterizar relacionamento afetivo juridicamente relevante no contexto específico de nepotismo cruzado entre prefeito e vereadora, devem-se considerar critérios objetivos que demonstrem potencial de influência recíproca nas decisões administrativas e legislativas. Cumpre observar que, conforme estabelecido na jurisprudência eleitoral, nem todo relacionamento afetivo possui relevância jurídica, sendo necessário que apresente características de estabilidade e notoriedade.</w:t>
      </w:r>
    </w:p>
    <w:p>
      <w:pPr>
        <w:spacing w:after="120" w:before="0"/>
        <w:ind w:firstLine="850"/>
        <w:jc w:val="both"/>
      </w:pPr>
      <w:r>
        <w:rPr>
          <w:rFonts w:ascii="Times New Roman" w:hAnsi="Times New Roman"/>
          <w:b w:val="0"/>
          <w:sz w:val="24"/>
        </w:rPr>
        <w:t>Os critérios específicos para nepotismo cruzado incluem: duração do relacionamento superior a seis meses; notoriedade pública na comunidade local; apresentação social como casal em eventos oficiais; coabitação ou convivência regular; e manifestações públicas de afeto que sejam de conhecimento da população municipal. De outro lado, no nepotismo cruzado a relevância do relacionamento mede-se pelo potencial de comprometimento da independência entre os poderes, exigindo estabilidade suficiente para gerar expectativa de reciprocidade, não bastando mero envolvimento casual.</w:t>
      </w:r>
    </w:p>
    <w:p>
      <w:pPr>
        <w:spacing w:after="120" w:before="0"/>
        <w:ind w:firstLine="850"/>
        <w:jc w:val="both"/>
      </w:pPr>
      <w:r>
        <w:rPr>
          <w:rFonts w:ascii="Times New Roman" w:hAnsi="Times New Roman"/>
          <w:b w:val="0"/>
          <w:sz w:val="24"/>
        </w:rPr>
        <w:t>O relacionamento afetivo deve apresentar características de estabilidade e publicidade que permitam presumir influência nas decisões institucionais. Por sua vez, a análise deve considerar o contexto municipal, onde relacionamentos tendem a ser mais notórios devido ao menor contingente populacional e maior proximidade entre as autoridades públicas.</w:t>
      </w:r>
    </w:p>
    <w:p>
      <w:pPr>
        <w:spacing w:after="120" w:before="0"/>
        <w:ind w:firstLine="850"/>
        <w:jc w:val="both"/>
      </w:pPr>
      <w:r>
        <w:rPr>
          <w:rFonts w:ascii="Times New Roman" w:hAnsi="Times New Roman"/>
          <w:b w:val="0"/>
          <w:sz w:val="24"/>
        </w:rPr>
        <w:t>O ônus da prova cabe ao</w:t>
      </w:r>
    </w:p>
    <w:p>
      <w:pPr>
        <w:spacing w:after="120" w:before="240"/>
        <w:jc w:val="left"/>
      </w:pPr>
      <w:r>
        <w:rPr>
          <w:rFonts w:ascii="Times New Roman" w:hAnsi="Times New Roman"/>
          <w:b/>
          <w:sz w:val="24"/>
        </w:rPr>
        <w:t>REGIME JURÍDICO APLICÁVEL E CONSEQUÊNCIAS ESPECÍFICAS DO NEPOTISMO CRUZADO</w:t>
      </w:r>
    </w:p>
    <w:p>
      <w:pPr>
        <w:spacing w:after="120" w:before="0"/>
        <w:ind w:firstLine="850"/>
        <w:jc w:val="both"/>
      </w:pPr>
      <w:r>
        <w:rPr>
          <w:rFonts w:ascii="Times New Roman" w:hAnsi="Times New Roman"/>
          <w:b w:val="0"/>
          <w:sz w:val="24"/>
        </w:rPr>
        <w:t>As consequências jurídicas do nepotismo cruzado entre prefeito e vereadora devem ser graduadas conforme a gravidade e o efetivo comprometimento da separação de poderes municipal. Nessa perspectiva, a Lei 14.230/21 (Nova Lei de Improbidade) exige demonstração de efetivo prejuízo ao erário ou enriquecimento ilícito para caracterização de improbidade administrativa, não bastando mera violação formal de princípios, conforme estabelecido em seus artigos 9º, 10 e 11.</w:t>
      </w:r>
    </w:p>
    <w:p>
      <w:pPr>
        <w:spacing w:after="120" w:before="0"/>
        <w:ind w:firstLine="850"/>
        <w:jc w:val="both"/>
      </w:pPr>
      <w:r>
        <w:rPr>
          <w:rFonts w:ascii="Times New Roman" w:hAnsi="Times New Roman"/>
          <w:b w:val="0"/>
          <w:sz w:val="24"/>
        </w:rPr>
        <w:t>A nulidade do ato de nomeação permanece como consequência primária da violação aos princípios constitucionais, independentemente da demonstração de dano efetivo. Destarte, as medidas específicas incluem anulação da nomeação com prazo para regularização; afastamento temporário da vereadora das votações relacionadas à Secretaria de Saúde; e eventual responsabilização por improbidade apenas se demonstrado favorecimento efetivo ou prejuízo ao interesse público.</w:t>
      </w:r>
    </w:p>
    <w:p>
      <w:pPr>
        <w:spacing w:after="120" w:before="0"/>
        <w:ind w:firstLine="850"/>
        <w:jc w:val="both"/>
      </w:pPr>
      <w:r>
        <w:rPr>
          <w:rFonts w:ascii="Times New Roman" w:hAnsi="Times New Roman"/>
          <w:b w:val="0"/>
          <w:sz w:val="24"/>
        </w:rPr>
        <w:t>Conforme estabelecido nos fragmentos analisados, mesmo em hipóteses não previstas especificamente na lei de improbidade, ainda assim pode haver violação aos princípios constitucionais. Vale dizer que o prefeito sujeita-se a representação por conduta vedada conforme jurisprudência consolidada, enquanto a vereadora pode responder por quebra de decoro parlamentar se demonstrada a incompatibilidade funcional.</w:t>
      </w:r>
    </w:p>
    <w:p>
      <w:pPr>
        <w:spacing w:after="120" w:before="240"/>
        <w:jc w:val="left"/>
      </w:pPr>
      <w:r>
        <w:rPr>
          <w:rFonts w:ascii="Times New Roman" w:hAnsi="Times New Roman"/>
          <w:b/>
          <w:sz w:val="24"/>
        </w:rPr>
        <w:t>MEDIDAS MINISTERIAIS ESPECÍFICAS PARA NEPOTISMO CRUZADO MUNICIPAL</w:t>
      </w:r>
    </w:p>
    <w:p>
      <w:pPr>
        <w:spacing w:after="120" w:before="0"/>
        <w:ind w:firstLine="850"/>
        <w:jc w:val="both"/>
      </w:pPr>
      <w:r>
        <w:rPr>
          <w:rFonts w:ascii="Times New Roman" w:hAnsi="Times New Roman"/>
          <w:b w:val="0"/>
          <w:sz w:val="24"/>
        </w:rPr>
        <w:t>As medidas específicas do</w:t>
      </w:r>
    </w:p>
    <w:p>
      <w:pPr>
        <w:spacing w:after="120" w:before="0"/>
        <w:ind w:firstLine="850"/>
        <w:jc w:val="both"/>
      </w:pPr>
      <w:r>
        <w:rPr>
          <w:rFonts w:ascii="Times New Roman" w:hAnsi="Times New Roman"/>
          <w:b w:val="0"/>
          <w:sz w:val="24"/>
        </w:rPr>
        <w:t>Primeiramente, deve-se requisitar informações sobre a duração e notoriedade do relacionamento afetivo, bem como histórico de votações da vereadora em projetos relacionados à Secretaria de Saúde. Assim sendo, a investigação deve verificar se há padrão de reciprocidade através de análise das deliberações legislativas, especialmente sobre orçamento da saúde, aprovação de contas municipais e fiscalizações realizadas pela Câmara Municipal.</w:t>
      </w:r>
    </w:p>
    <w:p>
      <w:pPr>
        <w:spacing w:after="120" w:before="0"/>
        <w:ind w:firstLine="850"/>
        <w:jc w:val="both"/>
      </w:pPr>
      <w:r>
        <w:rPr>
          <w:rFonts w:ascii="Times New Roman" w:hAnsi="Times New Roman"/>
          <w:b w:val="0"/>
          <w:sz w:val="24"/>
        </w:rPr>
        <w:t>O</w:t>
      </w:r>
    </w:p>
    <w:p>
      <w:pPr>
        <w:spacing w:after="120" w:before="0"/>
        <w:ind w:firstLine="850"/>
        <w:jc w:val="both"/>
      </w:pPr>
      <w:r>
        <w:rPr>
          <w:rFonts w:ascii="Times New Roman" w:hAnsi="Times New Roman"/>
          <w:b w:val="0"/>
          <w:sz w:val="24"/>
        </w:rPr>
        <w:t>Sob essa ótica, a atuação deve priorizar a restauração da independência entre os poderes municipais, garantindo que a separação de poderes seja efetivamente observada.</w:t>
      </w:r>
    </w:p>
    <w:p>
      <w:pPr>
        <w:spacing w:after="240" w:before="360"/>
        <w:jc w:val="center"/>
      </w:pPr>
      <w:r>
        <w:rPr>
          <w:rFonts w:ascii="Times New Roman" w:hAnsi="Times New Roman"/>
          <w:b/>
          <w:sz w:val="26"/>
        </w:rPr>
        <w:t>CONCLUSÃO</w:t>
      </w:r>
    </w:p>
    <w:p>
      <w:pPr>
        <w:spacing w:after="120" w:before="0"/>
        <w:ind w:firstLine="850"/>
        <w:jc w:val="both"/>
      </w:pPr>
      <w:r>
        <w:rPr>
          <w:rFonts w:ascii="Times New Roman" w:hAnsi="Times New Roman"/>
          <w:b w:val="0"/>
          <w:sz w:val="24"/>
        </w:rPr>
        <w:t>A situação analisada configura nepotismo cruzado com violação aos princípios constitucionais da impessoalidade e separação de poderes. De igual modo, o relacionamento afetivo entre prefeito e vereadora, quando estável e notório, compromete a independência funcional necessária ao exercício das respectivas competências constitucionais, criando expectativa de reciprocidade que viola a Súmula Vinculante 13 do STF.</w:t>
      </w:r>
    </w:p>
    <w:p>
      <w:pPr>
        <w:spacing w:after="120" w:before="0"/>
        <w:ind w:firstLine="850"/>
        <w:jc w:val="both"/>
      </w:pPr>
      <w:r>
        <w:rPr>
          <w:rFonts w:ascii="Times New Roman" w:hAnsi="Times New Roman"/>
          <w:b w:val="0"/>
          <w:sz w:val="24"/>
        </w:rPr>
        <w:t>A mera existência de relacionamento afetivo não configura automaticamente nepotismo, sendo necessária a demonstração de estabilidade, notoriedade e potencial de influência nas decisões institucionais. Contudo, uma vez caracterizados esses elementos, a nomeação da vereadora pelo prefeito constitui violação aos princípios constitucionais, independentemente da demonstração de dano efetivo ao erário.</w:t>
      </w:r>
    </w:p>
    <w:p>
      <w:pPr>
        <w:spacing w:after="120" w:before="0"/>
        <w:ind w:firstLine="850"/>
        <w:jc w:val="both"/>
      </w:pPr>
      <w:r>
        <w:rPr>
          <w:rFonts w:ascii="Times New Roman" w:hAnsi="Times New Roman"/>
          <w:b w:val="0"/>
          <w:sz w:val="24"/>
        </w:rPr>
        <w:t>Recomenda-se a instauração de Inquérito Civil para apurar: a duração e notoriedade do relacionamento afetivo; o histórico de votações da vereadora em projetos relacionados à Secretaria de Saúde; o padrão de reciprocidade nas deliberações legislativas; e o eventual comprometimento da fiscalização legislativa sobre o Executivo. As diligências específicas devem incluir requisição de atas das sessões legislativas posteriores à nomeação e oitiva de testemunhas sobre a notoriedade do relacionamento, visando à adoção das medidas judiciais cabíveis para restauração da legalidade administrativa.</w:t>
      </w:r>
    </w:p>
    <w:p>
      <w:pPr>
        <w:spacing w:after="360" w:before="240"/>
        <w:jc w:val="both"/>
      </w:pPr>
      <w:r>
        <w:rPr>
          <w:rFonts w:ascii="Times New Roman" w:hAnsi="Times New Roman"/>
          <w:b w:val="0"/>
          <w:sz w:val="24"/>
        </w:rPr>
        <w:t>É o parecer, salvo melhor juízo.</w:t>
      </w:r>
    </w:p>
    <w:p>
      <w:pPr>
        <w:spacing w:after="120" w:before="360"/>
        <w:jc w:val="left"/>
      </w:pPr>
      <w:r>
        <w:rPr>
          <w:rFonts w:ascii="Times New Roman" w:hAnsi="Times New Roman"/>
          <w:b w:val="0"/>
          <w:sz w:val="24"/>
        </w:rPr>
        <w:t>Porto Alegre, 17 de março de 2026.</w:t>
      </w:r>
    </w:p>
    <w:p>
      <w:pPr>
        <w:spacing w:after="0" w:before="0"/>
        <w:jc w:val="left"/>
      </w:pPr>
      <w:r>
        <w:rPr>
          <w:rFonts w:ascii="Times New Roman" w:hAnsi="Times New Roman"/>
          <w:b/>
          <w:sz w:val="24"/>
        </w:rPr>
        <w:t>Centro de Apoio Operacional Cível e do Patrimônio Público</w:t>
      </w:r>
    </w:p>
    <w:sectPr w:rsidR="00FC693F" w:rsidRPr="0006063C" w:rsidSect="00034616">
      <w:pgSz w:w="11906" w:h="16838"/>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