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Allocator Raw Diligence Notes – North River Capital</w:t>
      </w:r>
    </w:p>
    <w:p>
      <w:r>
        <w:br/>
        <w:t>- Team spun out of Millennium in 2020</w:t>
        <w:br/>
        <w:t>- CIO highly polished and institutional</w:t>
        <w:br/>
        <w:t>- PM emphasized low beta repeatedly</w:t>
        <w:br/>
        <w:t>- Gross exposure around 240%</w:t>
        <w:br/>
        <w:t>- Net exposure generally 10–20%</w:t>
        <w:br/>
        <w:t>- Strong 2022 performance</w:t>
        <w:br/>
        <w:t>- Weak during AI-led momentum rally in 2025</w:t>
        <w:br/>
        <w:t>- Alpha allegedly driven by stock selection</w:t>
        <w:br/>
        <w:t>- Short book contribution appears inconsistent</w:t>
        <w:br/>
        <w:t>- Concern: rapid AUM growth from $300mm to $2.5bn</w:t>
        <w:br/>
        <w:t>- Concern: crowding in AI and quality-growth factor trades</w:t>
        <w:br/>
        <w:t>- Turnover higher than expected</w:t>
        <w:br/>
        <w:t>- Monthly liquidity with 1-year soft lock</w:t>
        <w:br/>
        <w:t>- Need more detail on capacity constraints</w:t>
        <w:br/>
        <w:t>- Need more detail on PM sleeve autonomy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