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 River Capital – Due Diligence Questionnaire</w:t>
      </w:r>
    </w:p>
    <w:p>
      <w:pPr>
        <w:pStyle w:val="Heading2"/>
      </w:pPr>
      <w:r>
        <w:t>Firm Overview</w:t>
      </w:r>
    </w:p>
    <w:p>
      <w:pPr>
        <w:pStyle w:val="ListBullet"/>
      </w:pPr>
      <w:r>
        <w:t>Founded: 2020</w:t>
      </w:r>
    </w:p>
    <w:p>
      <w:pPr>
        <w:pStyle w:val="ListBullet"/>
      </w:pPr>
      <w:r>
        <w:t>Headquarters: New York, NY</w:t>
      </w:r>
    </w:p>
    <w:p>
      <w:pPr>
        <w:pStyle w:val="ListBullet"/>
      </w:pPr>
      <w:r>
        <w:t>Employee Count: 14</w:t>
      </w:r>
    </w:p>
    <w:p>
      <w:pPr>
        <w:pStyle w:val="ListBullet"/>
      </w:pPr>
      <w:r>
        <w:t>SEC Registered Investment Adviser</w:t>
      </w:r>
    </w:p>
    <w:p>
      <w:pPr>
        <w:pStyle w:val="Heading2"/>
      </w:pPr>
      <w:r>
        <w:t>Assets Under Management</w:t>
      </w:r>
    </w:p>
    <w:p>
      <w:pPr>
        <w:pStyle w:val="ListBullet"/>
      </w:pPr>
      <w:r>
        <w:t>Current AUM: $2.5 billion</w:t>
      </w:r>
    </w:p>
    <w:p>
      <w:pPr>
        <w:pStyle w:val="ListBullet"/>
      </w:pPr>
      <w:r>
        <w:t>AUM growth from $300mm to $2.5bn over 4 years</w:t>
      </w:r>
    </w:p>
    <w:p>
      <w:pPr>
        <w:pStyle w:val="Heading2"/>
      </w:pPr>
      <w:r>
        <w:t>Risk Management</w:t>
      </w:r>
    </w:p>
    <w:p>
      <w:pPr>
        <w:pStyle w:val="ListBullet"/>
      </w:pPr>
      <w:r>
        <w:t>Daily factor exposure monitoring</w:t>
      </w:r>
    </w:p>
    <w:p>
      <w:pPr>
        <w:pStyle w:val="ListBullet"/>
      </w:pPr>
      <w:r>
        <w:t>Independent risk officer</w:t>
      </w:r>
    </w:p>
    <w:p>
      <w:pPr>
        <w:pStyle w:val="ListBullet"/>
      </w:pPr>
      <w:r>
        <w:t>VaR reviewed daily</w:t>
      </w:r>
    </w:p>
    <w:p>
      <w:pPr>
        <w:pStyle w:val="ListBullet"/>
      </w:pPr>
      <w:r>
        <w:t>PM sleeve stop-loss framework</w:t>
      </w:r>
    </w:p>
    <w:p>
      <w:pPr>
        <w:pStyle w:val="Heading2"/>
      </w:pPr>
      <w:r>
        <w:t>Liquidity</w:t>
      </w:r>
    </w:p>
    <w:p>
      <w:pPr>
        <w:pStyle w:val="ListBullet"/>
      </w:pPr>
      <w:r>
        <w:t>Monthly liquidity with 30-day notice</w:t>
      </w:r>
    </w:p>
    <w:p>
      <w:pPr>
        <w:pStyle w:val="ListBullet"/>
      </w:pPr>
      <w:r>
        <w:t>1-year soft lock</w:t>
      </w:r>
    </w:p>
    <w:p>
      <w:pPr>
        <w:pStyle w:val="ListBullet"/>
      </w:pPr>
      <w:r>
        <w:t>Side pockets permitted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