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North River Capital Partners</w:t>
      </w:r>
    </w:p>
    <w:p>
      <w:pPr>
        <w:pStyle w:val="Heading2"/>
      </w:pPr>
      <w:r>
        <w:t>Strategy Overview</w:t>
      </w:r>
    </w:p>
    <w:p>
      <w:r>
        <w:t>North River Capital Partners is a market neutral equity hedge fund launched in 2020 by former multi-manager platform portfolio managers. The strategy focuses on quality-growth pair trading within U.S. large-cap equities with target net exposure of 0–20% and gross exposure of 180–260%.</w:t>
      </w:r>
    </w:p>
    <w:p>
      <w:pPr>
        <w:pStyle w:val="Heading2"/>
      </w:pPr>
      <w:r>
        <w:t>Investment Philosophy</w:t>
      </w:r>
    </w:p>
    <w:p>
      <w:r>
        <w:t>The firm seeks to exploit fundamental mispricings driven by earnings revisions, secular growth dislocations, and market overreactions. The team emphasizes disciplined risk controls, tight factor management, and low beta generation.</w:t>
      </w:r>
    </w:p>
    <w:p>
      <w:pPr>
        <w:pStyle w:val="Heading2"/>
      </w:pPr>
      <w:r>
        <w:t>Portfolio Construction</w:t>
      </w:r>
    </w:p>
    <w:p>
      <w:r>
        <w:t>- Typical portfolio: 70–110 long positions and 60–90 short positions</w:t>
        <w:br/>
        <w:t>- Sector neutrality maintained within +/-5%</w:t>
        <w:br/>
        <w:t>- Gross exposure target: 220%</w:t>
        <w:br/>
        <w:t>- Net exposure target: 10%</w:t>
        <w:br/>
        <w:t>- Position sizing based on conviction and liquidity</w:t>
      </w:r>
    </w:p>
    <w:p>
      <w:pPr>
        <w:pStyle w:val="Heading2"/>
      </w:pPr>
      <w:r>
        <w:t>Team</w:t>
      </w:r>
    </w:p>
    <w:p>
      <w:r>
        <w:t>The investment team consists of 8 professionals including the CIO, 4 sector PMs, and 3 analysts. Senior leadership previously worked at Millennium, Point72, and Balyasny.</w:t>
      </w:r>
    </w:p>
    <w:p>
      <w:pPr>
        <w:pStyle w:val="Heading2"/>
      </w:pPr>
      <w:r>
        <w:t>Performance Snapshot</w:t>
      </w:r>
    </w:p>
    <w:p>
      <w:r>
        <w:t>Since inception, the strategy has generated attractive risk-adjusted returns with limited market beta and strong downside protection during volatile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