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Songs of Syx Feature Specification Catalogue</w:t>
      </w:r>
    </w:p>
    <w:p>
      <w:pPr>
        <w:jc w:val="center"/>
      </w:pPr>
      <w:r>
        <w:rPr>
          <w:i/>
          <w:color w:val="505050"/>
          <w:sz w:val="22"/>
        </w:rPr>
        <w:t>Document inventory for extracting gameplay ideas into a new design</w:t>
      </w:r>
    </w:p>
    <w:p>
      <w:pPr>
        <w:spacing w:before="240" w:after="160"/>
      </w:pPr>
      <w:r>
        <w:rPr>
          <w:b/>
        </w:rPr>
        <w:t xml:space="preserve">Purpose. </w:t>
      </w:r>
      <w:r>
        <w:t>This catalogue defines the working set of feature specifications to create before technical design begins. Each entry isolates one gameplay system so it can later be assessed, adapted, combined, or excluded without copying the game wholesale. The entries describe systems present in Songs of Syx at a high level, not implementation requirements.</w:t>
      </w:r>
    </w:p>
    <w:p>
      <w:pPr>
        <w:spacing w:after="200"/>
      </w:pPr>
      <w:r>
        <w:rPr>
          <w:b/>
        </w:rPr>
        <w:t xml:space="preserve">Suggested use. </w:t>
      </w:r>
      <w:r>
        <w:t>Develop the documents in numbered order where dependencies matter. For every full feature specification, capture: player intent, inputs and outputs, rules, resources, feedback, edge cases, dependencies, and the version intended for the new game.</w:t>
      </w:r>
    </w:p>
    <w:p>
      <w:pPr>
        <w:pStyle w:val="Heading1"/>
      </w:pPr>
      <w:r>
        <w:t>Foundation and simulation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31"/>
        <w:gridCol w:w="3331"/>
        <w:gridCol w:w="3331"/>
      </w:tblGrid>
      <w:tr>
        <w:tc>
          <w:tcPr>
            <w:tcW w:type="dxa" w:w="2664"/>
            <w:shd w:fill="1F4E78"/>
            <w:vAlign w:val="center"/>
            <w:tcMar>
              <w:top w:w="110" w:type="dxa"/>
              <w:start w:w="110" w:type="dxa"/>
              <w:bottom w:w="110" w:type="dxa"/>
              <w:end w:w="110" w:type="dxa"/>
            </w:tcMar>
          </w:tcPr>
          <w:p>
            <w:pPr>
              <w:spacing w:after="0"/>
            </w:pPr>
            <w:r>
              <w:rPr>
                <w:b/>
                <w:color w:val="FFFFFF"/>
                <w:sz w:val="19"/>
              </w:rPr>
              <w:t>Document</w:t>
            </w:r>
          </w:p>
        </w:tc>
        <w:tc>
          <w:tcPr>
            <w:tcW w:type="dxa" w:w="2952"/>
            <w:shd w:fill="1F4E78"/>
            <w:vAlign w:val="center"/>
            <w:tcMar>
              <w:top w:w="110" w:type="dxa"/>
              <w:start w:w="110" w:type="dxa"/>
              <w:bottom w:w="110" w:type="dxa"/>
              <w:end w:w="110" w:type="dxa"/>
            </w:tcMar>
          </w:tcPr>
          <w:p>
            <w:pPr>
              <w:spacing w:after="0"/>
            </w:pPr>
            <w:r>
              <w:rPr>
                <w:b/>
                <w:color w:val="FFFFFF"/>
                <w:sz w:val="19"/>
              </w:rPr>
              <w:t>Feature</w:t>
            </w:r>
          </w:p>
        </w:tc>
        <w:tc>
          <w:tcPr>
            <w:tcW w:type="dxa" w:w="5544"/>
            <w:shd w:fill="1F4E78"/>
            <w:vAlign w:val="center"/>
            <w:tcMar>
              <w:top w:w="110" w:type="dxa"/>
              <w:start w:w="110" w:type="dxa"/>
              <w:bottom w:w="110" w:type="dxa"/>
              <w:end w:w="110" w:type="dxa"/>
            </w:tcMar>
          </w:tcPr>
          <w:p>
            <w:pPr>
              <w:spacing w:after="0"/>
            </w:pPr>
            <w:r>
              <w:rPr>
                <w:b/>
                <w:color w:val="FFFFFF"/>
                <w:sz w:val="19"/>
              </w:rPr>
              <w:t>Specification scope</w:t>
            </w:r>
          </w:p>
        </w:tc>
      </w:tr>
      <w:tr>
        <w:tc>
          <w:tcPr>
            <w:tcW w:type="dxa" w:w="2664"/>
            <w:vAlign w:val="center"/>
            <w:tcMar>
              <w:top w:w="110" w:type="dxa"/>
              <w:start w:w="110" w:type="dxa"/>
              <w:bottom w:w="110" w:type="dxa"/>
              <w:end w:w="110" w:type="dxa"/>
            </w:tcMar>
          </w:tcPr>
          <w:p>
            <w:pPr>
              <w:spacing w:after="0"/>
            </w:pPr>
            <w:r>
              <w:rPr>
                <w:b/>
                <w:sz w:val="19"/>
              </w:rPr>
              <w:t>01</w:t>
            </w:r>
          </w:p>
        </w:tc>
        <w:tc>
          <w:tcPr>
            <w:tcW w:type="dxa" w:w="2952"/>
            <w:vAlign w:val="center"/>
            <w:tcMar>
              <w:top w:w="110" w:type="dxa"/>
              <w:start w:w="110" w:type="dxa"/>
              <w:bottom w:w="110" w:type="dxa"/>
              <w:end w:w="110" w:type="dxa"/>
            </w:tcMar>
          </w:tcPr>
          <w:p>
            <w:pPr>
              <w:spacing w:after="0"/>
            </w:pPr>
            <w:r>
              <w:rPr>
                <w:b w:val="0"/>
                <w:sz w:val="19"/>
              </w:rPr>
              <w:t>Game loop and progression</w:t>
            </w:r>
          </w:p>
        </w:tc>
        <w:tc>
          <w:tcPr>
            <w:tcW w:type="dxa" w:w="5544"/>
            <w:vAlign w:val="center"/>
            <w:tcMar>
              <w:top w:w="110" w:type="dxa"/>
              <w:start w:w="110" w:type="dxa"/>
              <w:bottom w:w="110" w:type="dxa"/>
              <w:end w:w="110" w:type="dxa"/>
            </w:tcMar>
          </w:tcPr>
          <w:p>
            <w:pPr>
              <w:spacing w:after="0"/>
            </w:pPr>
            <w:r>
              <w:rPr>
                <w:b w:val="0"/>
                <w:sz w:val="19"/>
              </w:rPr>
              <w:t>The settlement to city to empire progression loop, player goals, pacing, failure states, and scale thresholds.</w:t>
            </w:r>
          </w:p>
        </w:tc>
      </w:tr>
      <w:tr>
        <w:tc>
          <w:tcPr>
            <w:tcW w:type="dxa" w:w="2664"/>
            <w:vAlign w:val="center"/>
            <w:tcMar>
              <w:top w:w="110" w:type="dxa"/>
              <w:start w:w="110" w:type="dxa"/>
              <w:bottom w:w="110" w:type="dxa"/>
              <w:end w:w="110" w:type="dxa"/>
            </w:tcMar>
          </w:tcPr>
          <w:p>
            <w:pPr>
              <w:spacing w:after="0"/>
            </w:pPr>
            <w:r>
              <w:rPr>
                <w:b/>
                <w:sz w:val="19"/>
              </w:rPr>
              <w:t>02</w:t>
            </w:r>
          </w:p>
        </w:tc>
        <w:tc>
          <w:tcPr>
            <w:tcW w:type="dxa" w:w="2952"/>
            <w:vAlign w:val="center"/>
            <w:tcMar>
              <w:top w:w="110" w:type="dxa"/>
              <w:start w:w="110" w:type="dxa"/>
              <w:bottom w:w="110" w:type="dxa"/>
              <w:end w:w="110" w:type="dxa"/>
            </w:tcMar>
          </w:tcPr>
          <w:p>
            <w:pPr>
              <w:spacing w:after="0"/>
            </w:pPr>
            <w:r>
              <w:rPr>
                <w:b w:val="0"/>
                <w:sz w:val="19"/>
              </w:rPr>
              <w:t>World generation and starting conditions</w:t>
            </w:r>
          </w:p>
        </w:tc>
        <w:tc>
          <w:tcPr>
            <w:tcW w:type="dxa" w:w="5544"/>
            <w:vAlign w:val="center"/>
            <w:tcMar>
              <w:top w:w="110" w:type="dxa"/>
              <w:start w:w="110" w:type="dxa"/>
              <w:bottom w:w="110" w:type="dxa"/>
              <w:end w:w="110" w:type="dxa"/>
            </w:tcMar>
          </w:tcPr>
          <w:p>
            <w:pPr>
              <w:spacing w:after="0"/>
            </w:pPr>
            <w:r>
              <w:rPr>
                <w:b w:val="0"/>
                <w:sz w:val="19"/>
              </w:rPr>
              <w:t>Map selection, terrain, fertility, deposits, climate, starting races, resources, and scenario parameters.</w:t>
            </w:r>
          </w:p>
        </w:tc>
      </w:tr>
      <w:tr>
        <w:tc>
          <w:tcPr>
            <w:tcW w:type="dxa" w:w="2664"/>
            <w:vAlign w:val="center"/>
            <w:tcMar>
              <w:top w:w="110" w:type="dxa"/>
              <w:start w:w="110" w:type="dxa"/>
              <w:bottom w:w="110" w:type="dxa"/>
              <w:end w:w="110" w:type="dxa"/>
            </w:tcMar>
          </w:tcPr>
          <w:p>
            <w:pPr>
              <w:spacing w:after="0"/>
            </w:pPr>
            <w:r>
              <w:rPr>
                <w:b/>
                <w:sz w:val="19"/>
              </w:rPr>
              <w:t>03</w:t>
            </w:r>
          </w:p>
        </w:tc>
        <w:tc>
          <w:tcPr>
            <w:tcW w:type="dxa" w:w="2952"/>
            <w:vAlign w:val="center"/>
            <w:tcMar>
              <w:top w:w="110" w:type="dxa"/>
              <w:start w:w="110" w:type="dxa"/>
              <w:bottom w:w="110" w:type="dxa"/>
              <w:end w:w="110" w:type="dxa"/>
            </w:tcMar>
          </w:tcPr>
          <w:p>
            <w:pPr>
              <w:spacing w:after="0"/>
            </w:pPr>
            <w:r>
              <w:rPr>
                <w:b w:val="0"/>
                <w:sz w:val="19"/>
              </w:rPr>
              <w:t>Time seasons and environmental pressure</w:t>
            </w:r>
          </w:p>
        </w:tc>
        <w:tc>
          <w:tcPr>
            <w:tcW w:type="dxa" w:w="5544"/>
            <w:vAlign w:val="center"/>
            <w:tcMar>
              <w:top w:w="110" w:type="dxa"/>
              <w:start w:w="110" w:type="dxa"/>
              <w:bottom w:w="110" w:type="dxa"/>
              <w:end w:w="110" w:type="dxa"/>
            </w:tcMar>
          </w:tcPr>
          <w:p>
            <w:pPr>
              <w:spacing w:after="0"/>
            </w:pPr>
            <w:r>
              <w:rPr>
                <w:b w:val="0"/>
                <w:sz w:val="19"/>
              </w:rPr>
              <w:t>Day and year cadence, seasonal production, weather or environmental modifiers, and their player-facing consequences.</w:t>
            </w:r>
          </w:p>
        </w:tc>
      </w:tr>
      <w:tr>
        <w:tc>
          <w:tcPr>
            <w:tcW w:type="dxa" w:w="2664"/>
            <w:vAlign w:val="center"/>
            <w:tcMar>
              <w:top w:w="110" w:type="dxa"/>
              <w:start w:w="110" w:type="dxa"/>
              <w:bottom w:w="110" w:type="dxa"/>
              <w:end w:w="110" w:type="dxa"/>
            </w:tcMar>
          </w:tcPr>
          <w:p>
            <w:pPr>
              <w:spacing w:after="0"/>
            </w:pPr>
            <w:r>
              <w:rPr>
                <w:b/>
                <w:sz w:val="19"/>
              </w:rPr>
              <w:t>04</w:t>
            </w:r>
          </w:p>
        </w:tc>
        <w:tc>
          <w:tcPr>
            <w:tcW w:type="dxa" w:w="2952"/>
            <w:vAlign w:val="center"/>
            <w:tcMar>
              <w:top w:w="110" w:type="dxa"/>
              <w:start w:w="110" w:type="dxa"/>
              <w:bottom w:w="110" w:type="dxa"/>
              <w:end w:w="110" w:type="dxa"/>
            </w:tcMar>
          </w:tcPr>
          <w:p>
            <w:pPr>
              <w:spacing w:after="0"/>
            </w:pPr>
            <w:r>
              <w:rPr>
                <w:b w:val="0"/>
                <w:sz w:val="19"/>
              </w:rPr>
              <w:t>Population simulation</w:t>
            </w:r>
          </w:p>
        </w:tc>
        <w:tc>
          <w:tcPr>
            <w:tcW w:type="dxa" w:w="5544"/>
            <w:vAlign w:val="center"/>
            <w:tcMar>
              <w:top w:w="110" w:type="dxa"/>
              <w:start w:w="110" w:type="dxa"/>
              <w:bottom w:w="110" w:type="dxa"/>
              <w:end w:w="110" w:type="dxa"/>
            </w:tcMar>
          </w:tcPr>
          <w:p>
            <w:pPr>
              <w:spacing w:after="0"/>
            </w:pPr>
            <w:r>
              <w:rPr>
                <w:b w:val="0"/>
                <w:sz w:val="19"/>
              </w:rPr>
              <w:t>Individual subjects, households and social classes; births, deaths, migration, ageing, identity, and population accounting.</w:t>
            </w:r>
          </w:p>
        </w:tc>
      </w:tr>
      <w:tr>
        <w:tc>
          <w:tcPr>
            <w:tcW w:type="dxa" w:w="2664"/>
            <w:vAlign w:val="center"/>
            <w:tcMar>
              <w:top w:w="110" w:type="dxa"/>
              <w:start w:w="110" w:type="dxa"/>
              <w:bottom w:w="110" w:type="dxa"/>
              <w:end w:w="110" w:type="dxa"/>
            </w:tcMar>
          </w:tcPr>
          <w:p>
            <w:pPr>
              <w:spacing w:after="0"/>
            </w:pPr>
            <w:r>
              <w:rPr>
                <w:b/>
                <w:sz w:val="19"/>
              </w:rPr>
              <w:t>05</w:t>
            </w:r>
          </w:p>
        </w:tc>
        <w:tc>
          <w:tcPr>
            <w:tcW w:type="dxa" w:w="2952"/>
            <w:vAlign w:val="center"/>
            <w:tcMar>
              <w:top w:w="110" w:type="dxa"/>
              <w:start w:w="110" w:type="dxa"/>
              <w:bottom w:w="110" w:type="dxa"/>
              <w:end w:w="110" w:type="dxa"/>
            </w:tcMar>
          </w:tcPr>
          <w:p>
            <w:pPr>
              <w:spacing w:after="0"/>
            </w:pPr>
            <w:r>
              <w:rPr>
                <w:b w:val="0"/>
                <w:sz w:val="19"/>
              </w:rPr>
              <w:t>Species culture and preferences</w:t>
            </w:r>
          </w:p>
        </w:tc>
        <w:tc>
          <w:tcPr>
            <w:tcW w:type="dxa" w:w="5544"/>
            <w:vAlign w:val="center"/>
            <w:tcMar>
              <w:top w:w="110" w:type="dxa"/>
              <w:start w:w="110" w:type="dxa"/>
              <w:bottom w:w="110" w:type="dxa"/>
              <w:end w:w="110" w:type="dxa"/>
            </w:tcMar>
          </w:tcPr>
          <w:p>
            <w:pPr>
              <w:spacing w:after="0"/>
            </w:pPr>
            <w:r>
              <w:rPr>
                <w:b w:val="0"/>
                <w:sz w:val="19"/>
              </w:rPr>
              <w:t>Playable species, racial traits, work suitability, food and service preferences, tolerance, and cultural friction.</w:t>
            </w:r>
          </w:p>
        </w:tc>
      </w:tr>
    </w:tbl>
    <w:p>
      <w:pPr>
        <w:spacing w:after="20"/>
      </w:pPr>
    </w:p>
    <w:p>
      <w:pPr>
        <w:pStyle w:val="Heading1"/>
      </w:pPr>
      <w:r>
        <w:t>Settlement operations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31"/>
        <w:gridCol w:w="3331"/>
        <w:gridCol w:w="3331"/>
      </w:tblGrid>
      <w:tr>
        <w:tc>
          <w:tcPr>
            <w:tcW w:type="dxa" w:w="2664"/>
            <w:shd w:fill="1F4E78"/>
            <w:vAlign w:val="center"/>
            <w:tcMar>
              <w:top w:w="110" w:type="dxa"/>
              <w:start w:w="110" w:type="dxa"/>
              <w:bottom w:w="110" w:type="dxa"/>
              <w:end w:w="110" w:type="dxa"/>
            </w:tcMar>
          </w:tcPr>
          <w:p>
            <w:pPr>
              <w:spacing w:after="0"/>
            </w:pPr>
            <w:r>
              <w:rPr>
                <w:b/>
                <w:color w:val="FFFFFF"/>
                <w:sz w:val="19"/>
              </w:rPr>
              <w:t>Document</w:t>
            </w:r>
          </w:p>
        </w:tc>
        <w:tc>
          <w:tcPr>
            <w:tcW w:type="dxa" w:w="2952"/>
            <w:shd w:fill="1F4E78"/>
            <w:vAlign w:val="center"/>
            <w:tcMar>
              <w:top w:w="110" w:type="dxa"/>
              <w:start w:w="110" w:type="dxa"/>
              <w:bottom w:w="110" w:type="dxa"/>
              <w:end w:w="110" w:type="dxa"/>
            </w:tcMar>
          </w:tcPr>
          <w:p>
            <w:pPr>
              <w:spacing w:after="0"/>
            </w:pPr>
            <w:r>
              <w:rPr>
                <w:b/>
                <w:color w:val="FFFFFF"/>
                <w:sz w:val="19"/>
              </w:rPr>
              <w:t>Feature</w:t>
            </w:r>
          </w:p>
        </w:tc>
        <w:tc>
          <w:tcPr>
            <w:tcW w:type="dxa" w:w="5544"/>
            <w:shd w:fill="1F4E78"/>
            <w:vAlign w:val="center"/>
            <w:tcMar>
              <w:top w:w="110" w:type="dxa"/>
              <w:start w:w="110" w:type="dxa"/>
              <w:bottom w:w="110" w:type="dxa"/>
              <w:end w:w="110" w:type="dxa"/>
            </w:tcMar>
          </w:tcPr>
          <w:p>
            <w:pPr>
              <w:spacing w:after="0"/>
            </w:pPr>
            <w:r>
              <w:rPr>
                <w:b/>
                <w:color w:val="FFFFFF"/>
                <w:sz w:val="19"/>
              </w:rPr>
              <w:t>Specification scope</w:t>
            </w:r>
          </w:p>
        </w:tc>
      </w:tr>
      <w:tr>
        <w:tc>
          <w:tcPr>
            <w:tcW w:type="dxa" w:w="2664"/>
            <w:vAlign w:val="center"/>
            <w:tcMar>
              <w:top w:w="110" w:type="dxa"/>
              <w:start w:w="110" w:type="dxa"/>
              <w:bottom w:w="110" w:type="dxa"/>
              <w:end w:w="110" w:type="dxa"/>
            </w:tcMar>
          </w:tcPr>
          <w:p>
            <w:pPr>
              <w:spacing w:after="0"/>
            </w:pPr>
            <w:r>
              <w:rPr>
                <w:b/>
                <w:sz w:val="19"/>
              </w:rPr>
              <w:t>06</w:t>
            </w:r>
          </w:p>
        </w:tc>
        <w:tc>
          <w:tcPr>
            <w:tcW w:type="dxa" w:w="2952"/>
            <w:vAlign w:val="center"/>
            <w:tcMar>
              <w:top w:w="110" w:type="dxa"/>
              <w:start w:w="110" w:type="dxa"/>
              <w:bottom w:w="110" w:type="dxa"/>
              <w:end w:w="110" w:type="dxa"/>
            </w:tcMar>
          </w:tcPr>
          <w:p>
            <w:pPr>
              <w:spacing w:after="0"/>
            </w:pPr>
            <w:r>
              <w:rPr>
                <w:b w:val="0"/>
                <w:sz w:val="19"/>
              </w:rPr>
              <w:t>Terrain construction and room planning</w:t>
            </w:r>
          </w:p>
        </w:tc>
        <w:tc>
          <w:tcPr>
            <w:tcW w:type="dxa" w:w="5544"/>
            <w:vAlign w:val="center"/>
            <w:tcMar>
              <w:top w:w="110" w:type="dxa"/>
              <w:start w:w="110" w:type="dxa"/>
              <w:bottom w:w="110" w:type="dxa"/>
              <w:end w:w="110" w:type="dxa"/>
            </w:tcMar>
          </w:tcPr>
          <w:p>
            <w:pPr>
              <w:spacing w:after="0"/>
            </w:pPr>
            <w:r>
              <w:rPr>
                <w:b w:val="0"/>
                <w:sz w:val="19"/>
              </w:rPr>
              <w:t>Grid placement, excavation, walls, floors, ceilings, room detection, construction orders, and furnishing rules.</w:t>
            </w:r>
          </w:p>
        </w:tc>
      </w:tr>
      <w:tr>
        <w:tc>
          <w:tcPr>
            <w:tcW w:type="dxa" w:w="2664"/>
            <w:vAlign w:val="center"/>
            <w:tcMar>
              <w:top w:w="110" w:type="dxa"/>
              <w:start w:w="110" w:type="dxa"/>
              <w:bottom w:w="110" w:type="dxa"/>
              <w:end w:w="110" w:type="dxa"/>
            </w:tcMar>
          </w:tcPr>
          <w:p>
            <w:pPr>
              <w:spacing w:after="0"/>
            </w:pPr>
            <w:r>
              <w:rPr>
                <w:b/>
                <w:sz w:val="19"/>
              </w:rPr>
              <w:t>07</w:t>
            </w:r>
          </w:p>
        </w:tc>
        <w:tc>
          <w:tcPr>
            <w:tcW w:type="dxa" w:w="2952"/>
            <w:vAlign w:val="center"/>
            <w:tcMar>
              <w:top w:w="110" w:type="dxa"/>
              <w:start w:w="110" w:type="dxa"/>
              <w:bottom w:w="110" w:type="dxa"/>
              <w:end w:w="110" w:type="dxa"/>
            </w:tcMar>
          </w:tcPr>
          <w:p>
            <w:pPr>
              <w:spacing w:after="0"/>
            </w:pPr>
            <w:r>
              <w:rPr>
                <w:b w:val="0"/>
                <w:sz w:val="19"/>
              </w:rPr>
              <w:t>Labour jobs and work allocation</w:t>
            </w:r>
          </w:p>
        </w:tc>
        <w:tc>
          <w:tcPr>
            <w:tcW w:type="dxa" w:w="5544"/>
            <w:vAlign w:val="center"/>
            <w:tcMar>
              <w:top w:w="110" w:type="dxa"/>
              <w:start w:w="110" w:type="dxa"/>
              <w:bottom w:w="110" w:type="dxa"/>
              <w:end w:w="110" w:type="dxa"/>
            </w:tcMar>
          </w:tcPr>
          <w:p>
            <w:pPr>
              <w:spacing w:after="0"/>
            </w:pPr>
            <w:r>
              <w:rPr>
                <w:b w:val="0"/>
                <w:sz w:val="19"/>
              </w:rPr>
              <w:t>Job assignment, priorities, staffing, commuting, task execution, work hours, and productivity factors.</w:t>
            </w:r>
          </w:p>
        </w:tc>
      </w:tr>
      <w:tr>
        <w:tc>
          <w:tcPr>
            <w:tcW w:type="dxa" w:w="2664"/>
            <w:vAlign w:val="center"/>
            <w:tcMar>
              <w:top w:w="110" w:type="dxa"/>
              <w:start w:w="110" w:type="dxa"/>
              <w:bottom w:w="110" w:type="dxa"/>
              <w:end w:w="110" w:type="dxa"/>
            </w:tcMar>
          </w:tcPr>
          <w:p>
            <w:pPr>
              <w:spacing w:after="0"/>
            </w:pPr>
            <w:r>
              <w:rPr>
                <w:b/>
                <w:sz w:val="19"/>
              </w:rPr>
              <w:t>08</w:t>
            </w:r>
          </w:p>
        </w:tc>
        <w:tc>
          <w:tcPr>
            <w:tcW w:type="dxa" w:w="2952"/>
            <w:vAlign w:val="center"/>
            <w:tcMar>
              <w:top w:w="110" w:type="dxa"/>
              <w:start w:w="110" w:type="dxa"/>
              <w:bottom w:w="110" w:type="dxa"/>
              <w:end w:w="110" w:type="dxa"/>
            </w:tcMar>
          </w:tcPr>
          <w:p>
            <w:pPr>
              <w:spacing w:after="0"/>
            </w:pPr>
            <w:r>
              <w:rPr>
                <w:b w:val="0"/>
                <w:sz w:val="19"/>
              </w:rPr>
              <w:t>Logistics storage and hauling</w:t>
            </w:r>
          </w:p>
        </w:tc>
        <w:tc>
          <w:tcPr>
            <w:tcW w:type="dxa" w:w="5544"/>
            <w:vAlign w:val="center"/>
            <w:tcMar>
              <w:top w:w="110" w:type="dxa"/>
              <w:start w:w="110" w:type="dxa"/>
              <w:bottom w:w="110" w:type="dxa"/>
              <w:end w:w="110" w:type="dxa"/>
            </w:tcMar>
          </w:tcPr>
          <w:p>
            <w:pPr>
              <w:spacing w:after="0"/>
            </w:pPr>
            <w:r>
              <w:rPr>
                <w:b w:val="0"/>
                <w:sz w:val="19"/>
              </w:rPr>
              <w:t>Stockpiles, warehouses, item movement, hauling labour, access, delivery routing, spoilage, and shortages.</w:t>
            </w:r>
          </w:p>
        </w:tc>
      </w:tr>
      <w:tr>
        <w:tc>
          <w:tcPr>
            <w:tcW w:type="dxa" w:w="2664"/>
            <w:vAlign w:val="center"/>
            <w:tcMar>
              <w:top w:w="110" w:type="dxa"/>
              <w:start w:w="110" w:type="dxa"/>
              <w:bottom w:w="110" w:type="dxa"/>
              <w:end w:w="110" w:type="dxa"/>
            </w:tcMar>
          </w:tcPr>
          <w:p>
            <w:pPr>
              <w:spacing w:after="0"/>
            </w:pPr>
            <w:r>
              <w:rPr>
                <w:b/>
                <w:sz w:val="19"/>
              </w:rPr>
              <w:t>09</w:t>
            </w:r>
          </w:p>
        </w:tc>
        <w:tc>
          <w:tcPr>
            <w:tcW w:type="dxa" w:w="2952"/>
            <w:vAlign w:val="center"/>
            <w:tcMar>
              <w:top w:w="110" w:type="dxa"/>
              <w:start w:w="110" w:type="dxa"/>
              <w:bottom w:w="110" w:type="dxa"/>
              <w:end w:w="110" w:type="dxa"/>
            </w:tcMar>
          </w:tcPr>
          <w:p>
            <w:pPr>
              <w:spacing w:after="0"/>
            </w:pPr>
            <w:r>
              <w:rPr>
                <w:b w:val="0"/>
                <w:sz w:val="19"/>
              </w:rPr>
              <w:t>Food agriculture and animal husbandry</w:t>
            </w:r>
          </w:p>
        </w:tc>
        <w:tc>
          <w:tcPr>
            <w:tcW w:type="dxa" w:w="5544"/>
            <w:vAlign w:val="center"/>
            <w:tcMar>
              <w:top w:w="110" w:type="dxa"/>
              <w:start w:w="110" w:type="dxa"/>
              <w:bottom w:w="110" w:type="dxa"/>
              <w:end w:w="110" w:type="dxa"/>
            </w:tcMar>
          </w:tcPr>
          <w:p>
            <w:pPr>
              <w:spacing w:after="0"/>
            </w:pPr>
            <w:r>
              <w:rPr>
                <w:b w:val="0"/>
                <w:sz w:val="19"/>
              </w:rPr>
              <w:t>Foraging, farming, irrigation where applicable, livestock, hunting, fishing, processing, food quality, and rations.</w:t>
            </w:r>
          </w:p>
        </w:tc>
      </w:tr>
      <w:tr>
        <w:tc>
          <w:tcPr>
            <w:tcW w:type="dxa" w:w="2664"/>
            <w:vAlign w:val="center"/>
            <w:tcMar>
              <w:top w:w="110" w:type="dxa"/>
              <w:start w:w="110" w:type="dxa"/>
              <w:bottom w:w="110" w:type="dxa"/>
              <w:end w:w="110" w:type="dxa"/>
            </w:tcMar>
          </w:tcPr>
          <w:p>
            <w:pPr>
              <w:spacing w:after="0"/>
            </w:pPr>
            <w:r>
              <w:rPr>
                <w:b/>
                <w:sz w:val="19"/>
              </w:rPr>
              <w:t>10</w:t>
            </w:r>
          </w:p>
        </w:tc>
        <w:tc>
          <w:tcPr>
            <w:tcW w:type="dxa" w:w="2952"/>
            <w:vAlign w:val="center"/>
            <w:tcMar>
              <w:top w:w="110" w:type="dxa"/>
              <w:start w:w="110" w:type="dxa"/>
              <w:bottom w:w="110" w:type="dxa"/>
              <w:end w:w="110" w:type="dxa"/>
            </w:tcMar>
          </w:tcPr>
          <w:p>
            <w:pPr>
              <w:spacing w:after="0"/>
            </w:pPr>
            <w:r>
              <w:rPr>
                <w:b w:val="0"/>
                <w:sz w:val="19"/>
              </w:rPr>
              <w:t>Production craft chains and maintenance</w:t>
            </w:r>
          </w:p>
        </w:tc>
        <w:tc>
          <w:tcPr>
            <w:tcW w:type="dxa" w:w="5544"/>
            <w:vAlign w:val="center"/>
            <w:tcMar>
              <w:top w:w="110" w:type="dxa"/>
              <w:start w:w="110" w:type="dxa"/>
              <w:bottom w:w="110" w:type="dxa"/>
              <w:end w:w="110" w:type="dxa"/>
            </w:tcMar>
          </w:tcPr>
          <w:p>
            <w:pPr>
              <w:spacing w:after="0"/>
            </w:pPr>
            <w:r>
              <w:rPr>
                <w:b w:val="0"/>
                <w:sz w:val="19"/>
              </w:rPr>
              <w:t>Raw materials, workshops, recipes, tools, industrial chains, equipment, upkeep, and building decay.</w:t>
            </w:r>
          </w:p>
        </w:tc>
      </w:tr>
      <w:tr>
        <w:tc>
          <w:tcPr>
            <w:tcW w:type="dxa" w:w="2664"/>
            <w:vAlign w:val="center"/>
            <w:tcMar>
              <w:top w:w="110" w:type="dxa"/>
              <w:start w:w="110" w:type="dxa"/>
              <w:bottom w:w="110" w:type="dxa"/>
              <w:end w:w="110" w:type="dxa"/>
            </w:tcMar>
          </w:tcPr>
          <w:p>
            <w:pPr>
              <w:spacing w:after="0"/>
            </w:pPr>
            <w:r>
              <w:rPr>
                <w:b/>
                <w:sz w:val="19"/>
              </w:rPr>
              <w:t>11</w:t>
            </w:r>
          </w:p>
        </w:tc>
        <w:tc>
          <w:tcPr>
            <w:tcW w:type="dxa" w:w="2952"/>
            <w:vAlign w:val="center"/>
            <w:tcMar>
              <w:top w:w="110" w:type="dxa"/>
              <w:start w:w="110" w:type="dxa"/>
              <w:bottom w:w="110" w:type="dxa"/>
              <w:end w:w="110" w:type="dxa"/>
            </w:tcMar>
          </w:tcPr>
          <w:p>
            <w:pPr>
              <w:spacing w:after="0"/>
            </w:pPr>
            <w:r>
              <w:rPr>
                <w:b w:val="0"/>
                <w:sz w:val="19"/>
              </w:rPr>
              <w:t>Housing services and fulfilment</w:t>
            </w:r>
          </w:p>
        </w:tc>
        <w:tc>
          <w:tcPr>
            <w:tcW w:type="dxa" w:w="5544"/>
            <w:vAlign w:val="center"/>
            <w:tcMar>
              <w:top w:w="110" w:type="dxa"/>
              <w:start w:w="110" w:type="dxa"/>
              <w:bottom w:w="110" w:type="dxa"/>
              <w:end w:w="110" w:type="dxa"/>
            </w:tcMar>
          </w:tcPr>
          <w:p>
            <w:pPr>
              <w:spacing w:after="0"/>
            </w:pPr>
            <w:r>
              <w:rPr>
                <w:b w:val="0"/>
                <w:sz w:val="19"/>
              </w:rPr>
              <w:t>Homes, furniture, public services, recreation, religion or culture, fulfilment scoring, access, and quality.</w:t>
            </w:r>
          </w:p>
        </w:tc>
      </w:tr>
      <w:tr>
        <w:tc>
          <w:tcPr>
            <w:tcW w:type="dxa" w:w="2664"/>
            <w:vAlign w:val="center"/>
            <w:tcMar>
              <w:top w:w="110" w:type="dxa"/>
              <w:start w:w="110" w:type="dxa"/>
              <w:bottom w:w="110" w:type="dxa"/>
              <w:end w:w="110" w:type="dxa"/>
            </w:tcMar>
          </w:tcPr>
          <w:p>
            <w:pPr>
              <w:spacing w:after="0"/>
            </w:pPr>
            <w:r>
              <w:rPr>
                <w:b/>
                <w:sz w:val="19"/>
              </w:rPr>
              <w:t>12</w:t>
            </w:r>
          </w:p>
        </w:tc>
        <w:tc>
          <w:tcPr>
            <w:tcW w:type="dxa" w:w="2952"/>
            <w:vAlign w:val="center"/>
            <w:tcMar>
              <w:top w:w="110" w:type="dxa"/>
              <w:start w:w="110" w:type="dxa"/>
              <w:bottom w:w="110" w:type="dxa"/>
              <w:end w:w="110" w:type="dxa"/>
            </w:tcMar>
          </w:tcPr>
          <w:p>
            <w:pPr>
              <w:spacing w:after="0"/>
            </w:pPr>
            <w:r>
              <w:rPr>
                <w:b w:val="0"/>
                <w:sz w:val="19"/>
              </w:rPr>
              <w:t>Health sanitation and mortality</w:t>
            </w:r>
          </w:p>
        </w:tc>
        <w:tc>
          <w:tcPr>
            <w:tcW w:type="dxa" w:w="5544"/>
            <w:vAlign w:val="center"/>
            <w:tcMar>
              <w:top w:w="110" w:type="dxa"/>
              <w:start w:w="110" w:type="dxa"/>
              <w:bottom w:w="110" w:type="dxa"/>
              <w:end w:w="110" w:type="dxa"/>
            </w:tcMar>
          </w:tcPr>
          <w:p>
            <w:pPr>
              <w:spacing w:after="0"/>
            </w:pPr>
            <w:r>
              <w:rPr>
                <w:b w:val="0"/>
                <w:sz w:val="19"/>
              </w:rPr>
              <w:t>Hospitals, hygiene, injury, disease, outbreaks, treatment, sanitation, and mortality effects.</w:t>
            </w:r>
          </w:p>
        </w:tc>
      </w:tr>
      <w:tr>
        <w:tc>
          <w:tcPr>
            <w:tcW w:type="dxa" w:w="2664"/>
            <w:vAlign w:val="center"/>
            <w:tcMar>
              <w:top w:w="110" w:type="dxa"/>
              <w:start w:w="110" w:type="dxa"/>
              <w:bottom w:w="110" w:type="dxa"/>
              <w:end w:w="110" w:type="dxa"/>
            </w:tcMar>
          </w:tcPr>
          <w:p>
            <w:pPr>
              <w:spacing w:after="0"/>
            </w:pPr>
            <w:r>
              <w:rPr>
                <w:b/>
                <w:sz w:val="19"/>
              </w:rPr>
              <w:t>13</w:t>
            </w:r>
          </w:p>
        </w:tc>
        <w:tc>
          <w:tcPr>
            <w:tcW w:type="dxa" w:w="2952"/>
            <w:vAlign w:val="center"/>
            <w:tcMar>
              <w:top w:w="110" w:type="dxa"/>
              <w:start w:w="110" w:type="dxa"/>
              <w:bottom w:w="110" w:type="dxa"/>
              <w:end w:w="110" w:type="dxa"/>
            </w:tcMar>
          </w:tcPr>
          <w:p>
            <w:pPr>
              <w:spacing w:after="0"/>
            </w:pPr>
            <w:r>
              <w:rPr>
                <w:b w:val="0"/>
                <w:sz w:val="19"/>
              </w:rPr>
              <w:t>Knowledge research and technology</w:t>
            </w:r>
          </w:p>
        </w:tc>
        <w:tc>
          <w:tcPr>
            <w:tcW w:type="dxa" w:w="5544"/>
            <w:vAlign w:val="center"/>
            <w:tcMar>
              <w:top w:w="110" w:type="dxa"/>
              <w:start w:w="110" w:type="dxa"/>
              <w:bottom w:w="110" w:type="dxa"/>
              <w:end w:w="110" w:type="dxa"/>
            </w:tcMar>
          </w:tcPr>
          <w:p>
            <w:pPr>
              <w:spacing w:after="0"/>
            </w:pPr>
            <w:r>
              <w:rPr>
                <w:b w:val="0"/>
                <w:sz w:val="19"/>
              </w:rPr>
              <w:t>Knowledge generation, research buildings, technology unlocks, specialisation, and scaling costs.</w:t>
            </w:r>
          </w:p>
        </w:tc>
      </w:tr>
      <w:tr>
        <w:tc>
          <w:tcPr>
            <w:tcW w:type="dxa" w:w="2664"/>
            <w:vAlign w:val="center"/>
            <w:tcMar>
              <w:top w:w="110" w:type="dxa"/>
              <w:start w:w="110" w:type="dxa"/>
              <w:bottom w:w="110" w:type="dxa"/>
              <w:end w:w="110" w:type="dxa"/>
            </w:tcMar>
          </w:tcPr>
          <w:p>
            <w:pPr>
              <w:spacing w:after="0"/>
            </w:pPr>
            <w:r>
              <w:rPr>
                <w:b/>
                <w:sz w:val="19"/>
              </w:rPr>
              <w:t>14</w:t>
            </w:r>
          </w:p>
        </w:tc>
        <w:tc>
          <w:tcPr>
            <w:tcW w:type="dxa" w:w="2952"/>
            <w:vAlign w:val="center"/>
            <w:tcMar>
              <w:top w:w="110" w:type="dxa"/>
              <w:start w:w="110" w:type="dxa"/>
              <w:bottom w:w="110" w:type="dxa"/>
              <w:end w:w="110" w:type="dxa"/>
            </w:tcMar>
          </w:tcPr>
          <w:p>
            <w:pPr>
              <w:spacing w:after="0"/>
            </w:pPr>
            <w:r>
              <w:rPr>
                <w:b w:val="0"/>
                <w:sz w:val="19"/>
              </w:rPr>
              <w:t>Law crime and punishment</w:t>
            </w:r>
          </w:p>
        </w:tc>
        <w:tc>
          <w:tcPr>
            <w:tcW w:type="dxa" w:w="5544"/>
            <w:vAlign w:val="center"/>
            <w:tcMar>
              <w:top w:w="110" w:type="dxa"/>
              <w:start w:w="110" w:type="dxa"/>
              <w:bottom w:w="110" w:type="dxa"/>
              <w:end w:w="110" w:type="dxa"/>
            </w:tcMar>
          </w:tcPr>
          <w:p>
            <w:pPr>
              <w:spacing w:after="0"/>
            </w:pPr>
            <w:r>
              <w:rPr>
                <w:b w:val="0"/>
                <w:sz w:val="19"/>
              </w:rPr>
              <w:t>Crime, guards, courts, prisons, laws, punishment choices, deterrence, and effects on legitimacy.</w:t>
            </w:r>
          </w:p>
        </w:tc>
      </w:tr>
      <w:tr>
        <w:tc>
          <w:tcPr>
            <w:tcW w:type="dxa" w:w="2664"/>
            <w:vAlign w:val="center"/>
            <w:tcMar>
              <w:top w:w="110" w:type="dxa"/>
              <w:start w:w="110" w:type="dxa"/>
              <w:bottom w:w="110" w:type="dxa"/>
              <w:end w:w="110" w:type="dxa"/>
            </w:tcMar>
          </w:tcPr>
          <w:p>
            <w:pPr>
              <w:spacing w:after="0"/>
            </w:pPr>
            <w:r>
              <w:rPr>
                <w:b/>
                <w:sz w:val="19"/>
              </w:rPr>
              <w:t>15</w:t>
            </w:r>
          </w:p>
        </w:tc>
        <w:tc>
          <w:tcPr>
            <w:tcW w:type="dxa" w:w="2952"/>
            <w:vAlign w:val="center"/>
            <w:tcMar>
              <w:top w:w="110" w:type="dxa"/>
              <w:start w:w="110" w:type="dxa"/>
              <w:bottom w:w="110" w:type="dxa"/>
              <w:end w:w="110" w:type="dxa"/>
            </w:tcMar>
          </w:tcPr>
          <w:p>
            <w:pPr>
              <w:spacing w:after="0"/>
            </w:pPr>
            <w:r>
              <w:rPr>
                <w:b w:val="0"/>
                <w:sz w:val="19"/>
              </w:rPr>
              <w:t>Administration bureaucracy and governance</w:t>
            </w:r>
          </w:p>
        </w:tc>
        <w:tc>
          <w:tcPr>
            <w:tcW w:type="dxa" w:w="5544"/>
            <w:vAlign w:val="center"/>
            <w:tcMar>
              <w:top w:w="110" w:type="dxa"/>
              <w:start w:w="110" w:type="dxa"/>
              <w:bottom w:w="110" w:type="dxa"/>
              <w:end w:w="110" w:type="dxa"/>
            </w:tcMar>
          </w:tcPr>
          <w:p>
            <w:pPr>
              <w:spacing w:after="0"/>
            </w:pPr>
            <w:r>
              <w:rPr>
                <w:b w:val="0"/>
                <w:sz w:val="19"/>
              </w:rPr>
              <w:t>Administration capacity, government points, records, taxes, policies, offices, and growth constraints.</w:t>
            </w:r>
          </w:p>
        </w:tc>
      </w:tr>
    </w:tbl>
    <w:p>
      <w:pPr>
        <w:spacing w:after="20"/>
      </w:pPr>
    </w:p>
    <w:p>
      <w:pPr>
        <w:pStyle w:val="Heading1"/>
      </w:pPr>
      <w:r>
        <w:t>Economy and society</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31"/>
        <w:gridCol w:w="3331"/>
        <w:gridCol w:w="3331"/>
      </w:tblGrid>
      <w:tr>
        <w:tc>
          <w:tcPr>
            <w:tcW w:type="dxa" w:w="2664"/>
            <w:shd w:fill="1F4E78"/>
            <w:vAlign w:val="center"/>
            <w:tcMar>
              <w:top w:w="110" w:type="dxa"/>
              <w:start w:w="110" w:type="dxa"/>
              <w:bottom w:w="110" w:type="dxa"/>
              <w:end w:w="110" w:type="dxa"/>
            </w:tcMar>
          </w:tcPr>
          <w:p>
            <w:pPr>
              <w:spacing w:after="0"/>
            </w:pPr>
            <w:r>
              <w:rPr>
                <w:b/>
                <w:color w:val="FFFFFF"/>
                <w:sz w:val="19"/>
              </w:rPr>
              <w:t>Document</w:t>
            </w:r>
          </w:p>
        </w:tc>
        <w:tc>
          <w:tcPr>
            <w:tcW w:type="dxa" w:w="2952"/>
            <w:shd w:fill="1F4E78"/>
            <w:vAlign w:val="center"/>
            <w:tcMar>
              <w:top w:w="110" w:type="dxa"/>
              <w:start w:w="110" w:type="dxa"/>
              <w:bottom w:w="110" w:type="dxa"/>
              <w:end w:w="110" w:type="dxa"/>
            </w:tcMar>
          </w:tcPr>
          <w:p>
            <w:pPr>
              <w:spacing w:after="0"/>
            </w:pPr>
            <w:r>
              <w:rPr>
                <w:b/>
                <w:color w:val="FFFFFF"/>
                <w:sz w:val="19"/>
              </w:rPr>
              <w:t>Feature</w:t>
            </w:r>
          </w:p>
        </w:tc>
        <w:tc>
          <w:tcPr>
            <w:tcW w:type="dxa" w:w="5544"/>
            <w:shd w:fill="1F4E78"/>
            <w:vAlign w:val="center"/>
            <w:tcMar>
              <w:top w:w="110" w:type="dxa"/>
              <w:start w:w="110" w:type="dxa"/>
              <w:bottom w:w="110" w:type="dxa"/>
              <w:end w:w="110" w:type="dxa"/>
            </w:tcMar>
          </w:tcPr>
          <w:p>
            <w:pPr>
              <w:spacing w:after="0"/>
            </w:pPr>
            <w:r>
              <w:rPr>
                <w:b/>
                <w:color w:val="FFFFFF"/>
                <w:sz w:val="19"/>
              </w:rPr>
              <w:t>Specification scope</w:t>
            </w:r>
          </w:p>
        </w:tc>
      </w:tr>
      <w:tr>
        <w:tc>
          <w:tcPr>
            <w:tcW w:type="dxa" w:w="2664"/>
            <w:vAlign w:val="center"/>
            <w:tcMar>
              <w:top w:w="110" w:type="dxa"/>
              <w:start w:w="110" w:type="dxa"/>
              <w:bottom w:w="110" w:type="dxa"/>
              <w:end w:w="110" w:type="dxa"/>
            </w:tcMar>
          </w:tcPr>
          <w:p>
            <w:pPr>
              <w:spacing w:after="0"/>
            </w:pPr>
            <w:r>
              <w:rPr>
                <w:b/>
                <w:sz w:val="19"/>
              </w:rPr>
              <w:t>16</w:t>
            </w:r>
          </w:p>
        </w:tc>
        <w:tc>
          <w:tcPr>
            <w:tcW w:type="dxa" w:w="2952"/>
            <w:vAlign w:val="center"/>
            <w:tcMar>
              <w:top w:w="110" w:type="dxa"/>
              <w:start w:w="110" w:type="dxa"/>
              <w:bottom w:w="110" w:type="dxa"/>
              <w:end w:w="110" w:type="dxa"/>
            </w:tcMar>
          </w:tcPr>
          <w:p>
            <w:pPr>
              <w:spacing w:after="0"/>
            </w:pPr>
            <w:r>
              <w:rPr>
                <w:b w:val="0"/>
                <w:sz w:val="19"/>
              </w:rPr>
              <w:t>Happiness loyalty and unrest</w:t>
            </w:r>
          </w:p>
        </w:tc>
        <w:tc>
          <w:tcPr>
            <w:tcW w:type="dxa" w:w="5544"/>
            <w:vAlign w:val="center"/>
            <w:tcMar>
              <w:top w:w="110" w:type="dxa"/>
              <w:start w:w="110" w:type="dxa"/>
              <w:bottom w:w="110" w:type="dxa"/>
              <w:end w:w="110" w:type="dxa"/>
            </w:tcMar>
          </w:tcPr>
          <w:p>
            <w:pPr>
              <w:spacing w:after="0"/>
            </w:pPr>
            <w:r>
              <w:rPr>
                <w:b w:val="0"/>
                <w:sz w:val="19"/>
              </w:rPr>
              <w:t>Needs, expectations, satisfaction, loyalty, protest or revolt, social stability, and player feedback.</w:t>
            </w:r>
          </w:p>
        </w:tc>
      </w:tr>
      <w:tr>
        <w:tc>
          <w:tcPr>
            <w:tcW w:type="dxa" w:w="2664"/>
            <w:vAlign w:val="center"/>
            <w:tcMar>
              <w:top w:w="110" w:type="dxa"/>
              <w:start w:w="110" w:type="dxa"/>
              <w:bottom w:w="110" w:type="dxa"/>
              <w:end w:w="110" w:type="dxa"/>
            </w:tcMar>
          </w:tcPr>
          <w:p>
            <w:pPr>
              <w:spacing w:after="0"/>
            </w:pPr>
            <w:r>
              <w:rPr>
                <w:b/>
                <w:sz w:val="19"/>
              </w:rPr>
              <w:t>17</w:t>
            </w:r>
          </w:p>
        </w:tc>
        <w:tc>
          <w:tcPr>
            <w:tcW w:type="dxa" w:w="2952"/>
            <w:vAlign w:val="center"/>
            <w:tcMar>
              <w:top w:w="110" w:type="dxa"/>
              <w:start w:w="110" w:type="dxa"/>
              <w:bottom w:w="110" w:type="dxa"/>
              <w:end w:w="110" w:type="dxa"/>
            </w:tcMar>
          </w:tcPr>
          <w:p>
            <w:pPr>
              <w:spacing w:after="0"/>
            </w:pPr>
            <w:r>
              <w:rPr>
                <w:b w:val="0"/>
                <w:sz w:val="19"/>
              </w:rPr>
              <w:t>Trade markets and pricing</w:t>
            </w:r>
          </w:p>
        </w:tc>
        <w:tc>
          <w:tcPr>
            <w:tcW w:type="dxa" w:w="5544"/>
            <w:vAlign w:val="center"/>
            <w:tcMar>
              <w:top w:w="110" w:type="dxa"/>
              <w:start w:w="110" w:type="dxa"/>
              <w:bottom w:w="110" w:type="dxa"/>
              <w:end w:w="110" w:type="dxa"/>
            </w:tcMar>
          </w:tcPr>
          <w:p>
            <w:pPr>
              <w:spacing w:after="0"/>
            </w:pPr>
            <w:r>
              <w:rPr>
                <w:b w:val="0"/>
                <w:sz w:val="19"/>
              </w:rPr>
              <w:t>Exports, imports, traders, contracts, supply and demand, prices, transport, and trade dependencies.</w:t>
            </w:r>
          </w:p>
        </w:tc>
      </w:tr>
      <w:tr>
        <w:tc>
          <w:tcPr>
            <w:tcW w:type="dxa" w:w="2664"/>
            <w:vAlign w:val="center"/>
            <w:tcMar>
              <w:top w:w="110" w:type="dxa"/>
              <w:start w:w="110" w:type="dxa"/>
              <w:bottom w:w="110" w:type="dxa"/>
              <w:end w:w="110" w:type="dxa"/>
            </w:tcMar>
          </w:tcPr>
          <w:p>
            <w:pPr>
              <w:spacing w:after="0"/>
            </w:pPr>
            <w:r>
              <w:rPr>
                <w:b/>
                <w:sz w:val="19"/>
              </w:rPr>
              <w:t>18</w:t>
            </w:r>
          </w:p>
        </w:tc>
        <w:tc>
          <w:tcPr>
            <w:tcW w:type="dxa" w:w="2952"/>
            <w:vAlign w:val="center"/>
            <w:tcMar>
              <w:top w:w="110" w:type="dxa"/>
              <w:start w:w="110" w:type="dxa"/>
              <w:bottom w:w="110" w:type="dxa"/>
              <w:end w:w="110" w:type="dxa"/>
            </w:tcMar>
          </w:tcPr>
          <w:p>
            <w:pPr>
              <w:spacing w:after="0"/>
            </w:pPr>
            <w:r>
              <w:rPr>
                <w:b w:val="0"/>
                <w:sz w:val="19"/>
              </w:rPr>
              <w:t>Wealth currency and taxation</w:t>
            </w:r>
          </w:p>
        </w:tc>
        <w:tc>
          <w:tcPr>
            <w:tcW w:type="dxa" w:w="5544"/>
            <w:vAlign w:val="center"/>
            <w:tcMar>
              <w:top w:w="110" w:type="dxa"/>
              <w:start w:w="110" w:type="dxa"/>
              <w:bottom w:w="110" w:type="dxa"/>
              <w:end w:w="110" w:type="dxa"/>
            </w:tcMar>
          </w:tcPr>
          <w:p>
            <w:pPr>
              <w:spacing w:after="0"/>
            </w:pPr>
            <w:r>
              <w:rPr>
                <w:b w:val="0"/>
                <w:sz w:val="19"/>
              </w:rPr>
              <w:t>Money or treasury flows, taxes, wages if retained, tariffs, purchasing power, and public expenditure.</w:t>
            </w:r>
          </w:p>
        </w:tc>
      </w:tr>
      <w:tr>
        <w:tc>
          <w:tcPr>
            <w:tcW w:type="dxa" w:w="2664"/>
            <w:vAlign w:val="center"/>
            <w:tcMar>
              <w:top w:w="110" w:type="dxa"/>
              <w:start w:w="110" w:type="dxa"/>
              <w:bottom w:w="110" w:type="dxa"/>
              <w:end w:w="110" w:type="dxa"/>
            </w:tcMar>
          </w:tcPr>
          <w:p>
            <w:pPr>
              <w:spacing w:after="0"/>
            </w:pPr>
            <w:r>
              <w:rPr>
                <w:b/>
                <w:sz w:val="19"/>
              </w:rPr>
              <w:t>19</w:t>
            </w:r>
          </w:p>
        </w:tc>
        <w:tc>
          <w:tcPr>
            <w:tcW w:type="dxa" w:w="2952"/>
            <w:vAlign w:val="center"/>
            <w:tcMar>
              <w:top w:w="110" w:type="dxa"/>
              <w:start w:w="110" w:type="dxa"/>
              <w:bottom w:w="110" w:type="dxa"/>
              <w:end w:w="110" w:type="dxa"/>
            </w:tcMar>
          </w:tcPr>
          <w:p>
            <w:pPr>
              <w:spacing w:after="0"/>
            </w:pPr>
            <w:r>
              <w:rPr>
                <w:b w:val="0"/>
                <w:sz w:val="19"/>
              </w:rPr>
              <w:t>Nobility slavery and social hierarchy</w:t>
            </w:r>
          </w:p>
        </w:tc>
        <w:tc>
          <w:tcPr>
            <w:tcW w:type="dxa" w:w="5544"/>
            <w:vAlign w:val="center"/>
            <w:tcMar>
              <w:top w:w="110" w:type="dxa"/>
              <w:start w:w="110" w:type="dxa"/>
              <w:bottom w:w="110" w:type="dxa"/>
              <w:end w:w="110" w:type="dxa"/>
            </w:tcMar>
          </w:tcPr>
          <w:p>
            <w:pPr>
              <w:spacing w:after="0"/>
            </w:pPr>
            <w:r>
              <w:rPr>
                <w:b w:val="0"/>
                <w:sz w:val="19"/>
              </w:rPr>
              <w:t>Class roles, privileges, slavery, emancipation, social mobility, and the consequences of hierarchy.</w:t>
            </w:r>
          </w:p>
        </w:tc>
      </w:tr>
      <w:tr>
        <w:tc>
          <w:tcPr>
            <w:tcW w:type="dxa" w:w="2664"/>
            <w:vAlign w:val="center"/>
            <w:tcMar>
              <w:top w:w="110" w:type="dxa"/>
              <w:start w:w="110" w:type="dxa"/>
              <w:bottom w:w="110" w:type="dxa"/>
              <w:end w:w="110" w:type="dxa"/>
            </w:tcMar>
          </w:tcPr>
          <w:p>
            <w:pPr>
              <w:spacing w:after="0"/>
            </w:pPr>
            <w:r>
              <w:rPr>
                <w:b/>
                <w:sz w:val="19"/>
              </w:rPr>
              <w:t>20</w:t>
            </w:r>
          </w:p>
        </w:tc>
        <w:tc>
          <w:tcPr>
            <w:tcW w:type="dxa" w:w="2952"/>
            <w:vAlign w:val="center"/>
            <w:tcMar>
              <w:top w:w="110" w:type="dxa"/>
              <w:start w:w="110" w:type="dxa"/>
              <w:bottom w:w="110" w:type="dxa"/>
              <w:end w:w="110" w:type="dxa"/>
            </w:tcMar>
          </w:tcPr>
          <w:p>
            <w:pPr>
              <w:spacing w:after="0"/>
            </w:pPr>
            <w:r>
              <w:rPr>
                <w:b w:val="0"/>
                <w:sz w:val="19"/>
              </w:rPr>
              <w:t>Religion culture tourism and prestige</w:t>
            </w:r>
          </w:p>
        </w:tc>
        <w:tc>
          <w:tcPr>
            <w:tcW w:type="dxa" w:w="5544"/>
            <w:vAlign w:val="center"/>
            <w:tcMar>
              <w:top w:w="110" w:type="dxa"/>
              <w:start w:w="110" w:type="dxa"/>
              <w:bottom w:w="110" w:type="dxa"/>
              <w:end w:w="110" w:type="dxa"/>
            </w:tcMar>
          </w:tcPr>
          <w:p>
            <w:pPr>
              <w:spacing w:after="0"/>
            </w:pPr>
            <w:r>
              <w:rPr>
                <w:b w:val="0"/>
                <w:sz w:val="19"/>
              </w:rPr>
              <w:t>Temples and cultural facilities, visitor or tourist systems, reputation, monuments, and city prestige.</w:t>
            </w:r>
          </w:p>
        </w:tc>
      </w:tr>
    </w:tbl>
    <w:p>
      <w:pPr>
        <w:spacing w:after="20"/>
      </w:pPr>
    </w:p>
    <w:p>
      <w:pPr>
        <w:pStyle w:val="Heading1"/>
      </w:pPr>
      <w:r>
        <w:t>Conflict and world layer</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31"/>
        <w:gridCol w:w="3331"/>
        <w:gridCol w:w="3331"/>
      </w:tblGrid>
      <w:tr>
        <w:tc>
          <w:tcPr>
            <w:tcW w:type="dxa" w:w="2664"/>
            <w:shd w:fill="1F4E78"/>
            <w:vAlign w:val="center"/>
            <w:tcMar>
              <w:top w:w="110" w:type="dxa"/>
              <w:start w:w="110" w:type="dxa"/>
              <w:bottom w:w="110" w:type="dxa"/>
              <w:end w:w="110" w:type="dxa"/>
            </w:tcMar>
          </w:tcPr>
          <w:p>
            <w:pPr>
              <w:spacing w:after="0"/>
            </w:pPr>
            <w:r>
              <w:rPr>
                <w:b/>
                <w:color w:val="FFFFFF"/>
                <w:sz w:val="19"/>
              </w:rPr>
              <w:t>Document</w:t>
            </w:r>
          </w:p>
        </w:tc>
        <w:tc>
          <w:tcPr>
            <w:tcW w:type="dxa" w:w="2952"/>
            <w:shd w:fill="1F4E78"/>
            <w:vAlign w:val="center"/>
            <w:tcMar>
              <w:top w:w="110" w:type="dxa"/>
              <w:start w:w="110" w:type="dxa"/>
              <w:bottom w:w="110" w:type="dxa"/>
              <w:end w:w="110" w:type="dxa"/>
            </w:tcMar>
          </w:tcPr>
          <w:p>
            <w:pPr>
              <w:spacing w:after="0"/>
            </w:pPr>
            <w:r>
              <w:rPr>
                <w:b/>
                <w:color w:val="FFFFFF"/>
                <w:sz w:val="19"/>
              </w:rPr>
              <w:t>Feature</w:t>
            </w:r>
          </w:p>
        </w:tc>
        <w:tc>
          <w:tcPr>
            <w:tcW w:type="dxa" w:w="5544"/>
            <w:shd w:fill="1F4E78"/>
            <w:vAlign w:val="center"/>
            <w:tcMar>
              <w:top w:w="110" w:type="dxa"/>
              <w:start w:w="110" w:type="dxa"/>
              <w:bottom w:w="110" w:type="dxa"/>
              <w:end w:w="110" w:type="dxa"/>
            </w:tcMar>
          </w:tcPr>
          <w:p>
            <w:pPr>
              <w:spacing w:after="0"/>
            </w:pPr>
            <w:r>
              <w:rPr>
                <w:b/>
                <w:color w:val="FFFFFF"/>
                <w:sz w:val="19"/>
              </w:rPr>
              <w:t>Specification scope</w:t>
            </w:r>
          </w:p>
        </w:tc>
      </w:tr>
      <w:tr>
        <w:tc>
          <w:tcPr>
            <w:tcW w:type="dxa" w:w="2664"/>
            <w:vAlign w:val="center"/>
            <w:tcMar>
              <w:top w:w="110" w:type="dxa"/>
              <w:start w:w="110" w:type="dxa"/>
              <w:bottom w:w="110" w:type="dxa"/>
              <w:end w:w="110" w:type="dxa"/>
            </w:tcMar>
          </w:tcPr>
          <w:p>
            <w:pPr>
              <w:spacing w:after="0"/>
            </w:pPr>
            <w:r>
              <w:rPr>
                <w:b/>
                <w:sz w:val="19"/>
              </w:rPr>
              <w:t>21</w:t>
            </w:r>
          </w:p>
        </w:tc>
        <w:tc>
          <w:tcPr>
            <w:tcW w:type="dxa" w:w="2952"/>
            <w:vAlign w:val="center"/>
            <w:tcMar>
              <w:top w:w="110" w:type="dxa"/>
              <w:start w:w="110" w:type="dxa"/>
              <w:bottom w:w="110" w:type="dxa"/>
              <w:end w:w="110" w:type="dxa"/>
            </w:tcMar>
          </w:tcPr>
          <w:p>
            <w:pPr>
              <w:spacing w:after="0"/>
            </w:pPr>
            <w:r>
              <w:rPr>
                <w:b w:val="0"/>
                <w:sz w:val="19"/>
              </w:rPr>
              <w:t>Threat events disasters and raids</w:t>
            </w:r>
          </w:p>
        </w:tc>
        <w:tc>
          <w:tcPr>
            <w:tcW w:type="dxa" w:w="5544"/>
            <w:vAlign w:val="center"/>
            <w:tcMar>
              <w:top w:w="110" w:type="dxa"/>
              <w:start w:w="110" w:type="dxa"/>
              <w:bottom w:w="110" w:type="dxa"/>
              <w:end w:w="110" w:type="dxa"/>
            </w:tcMar>
          </w:tcPr>
          <w:p>
            <w:pPr>
              <w:spacing w:after="0"/>
            </w:pPr>
            <w:r>
              <w:rPr>
                <w:b w:val="0"/>
                <w:sz w:val="19"/>
              </w:rPr>
              <w:t>External threats, raids, catastrophes, alerts, escalation, recovery, and player countermeasures.</w:t>
            </w:r>
          </w:p>
        </w:tc>
      </w:tr>
      <w:tr>
        <w:tc>
          <w:tcPr>
            <w:tcW w:type="dxa" w:w="2664"/>
            <w:vAlign w:val="center"/>
            <w:tcMar>
              <w:top w:w="110" w:type="dxa"/>
              <w:start w:w="110" w:type="dxa"/>
              <w:bottom w:w="110" w:type="dxa"/>
              <w:end w:w="110" w:type="dxa"/>
            </w:tcMar>
          </w:tcPr>
          <w:p>
            <w:pPr>
              <w:spacing w:after="0"/>
            </w:pPr>
            <w:r>
              <w:rPr>
                <w:b/>
                <w:sz w:val="19"/>
              </w:rPr>
              <w:t>22</w:t>
            </w:r>
          </w:p>
        </w:tc>
        <w:tc>
          <w:tcPr>
            <w:tcW w:type="dxa" w:w="2952"/>
            <w:vAlign w:val="center"/>
            <w:tcMar>
              <w:top w:w="110" w:type="dxa"/>
              <w:start w:w="110" w:type="dxa"/>
              <w:bottom w:w="110" w:type="dxa"/>
              <w:end w:w="110" w:type="dxa"/>
            </w:tcMar>
          </w:tcPr>
          <w:p>
            <w:pPr>
              <w:spacing w:after="0"/>
            </w:pPr>
            <w:r>
              <w:rPr>
                <w:b w:val="0"/>
                <w:sz w:val="19"/>
              </w:rPr>
              <w:t>Local defence and tactical combat</w:t>
            </w:r>
          </w:p>
        </w:tc>
        <w:tc>
          <w:tcPr>
            <w:tcW w:type="dxa" w:w="5544"/>
            <w:vAlign w:val="center"/>
            <w:tcMar>
              <w:top w:w="110" w:type="dxa"/>
              <w:start w:w="110" w:type="dxa"/>
              <w:bottom w:w="110" w:type="dxa"/>
              <w:end w:w="110" w:type="dxa"/>
            </w:tcMar>
          </w:tcPr>
          <w:p>
            <w:pPr>
              <w:spacing w:after="0"/>
            </w:pPr>
            <w:r>
              <w:rPr>
                <w:b w:val="0"/>
                <w:sz w:val="19"/>
              </w:rPr>
              <w:t>Recruitment, training, equipment, formations, settlement defence, unit control, morale, and battles.</w:t>
            </w:r>
          </w:p>
        </w:tc>
      </w:tr>
      <w:tr>
        <w:tc>
          <w:tcPr>
            <w:tcW w:type="dxa" w:w="2664"/>
            <w:vAlign w:val="center"/>
            <w:tcMar>
              <w:top w:w="110" w:type="dxa"/>
              <w:start w:w="110" w:type="dxa"/>
              <w:bottom w:w="110" w:type="dxa"/>
              <w:end w:w="110" w:type="dxa"/>
            </w:tcMar>
          </w:tcPr>
          <w:p>
            <w:pPr>
              <w:spacing w:after="0"/>
            </w:pPr>
            <w:r>
              <w:rPr>
                <w:b/>
                <w:sz w:val="19"/>
              </w:rPr>
              <w:t>23</w:t>
            </w:r>
          </w:p>
        </w:tc>
        <w:tc>
          <w:tcPr>
            <w:tcW w:type="dxa" w:w="2952"/>
            <w:vAlign w:val="center"/>
            <w:tcMar>
              <w:top w:w="110" w:type="dxa"/>
              <w:start w:w="110" w:type="dxa"/>
              <w:bottom w:w="110" w:type="dxa"/>
              <w:end w:w="110" w:type="dxa"/>
            </w:tcMar>
          </w:tcPr>
          <w:p>
            <w:pPr>
              <w:spacing w:after="0"/>
            </w:pPr>
            <w:r>
              <w:rPr>
                <w:b w:val="0"/>
                <w:sz w:val="19"/>
              </w:rPr>
              <w:t>World map regions and expansion</w:t>
            </w:r>
          </w:p>
        </w:tc>
        <w:tc>
          <w:tcPr>
            <w:tcW w:type="dxa" w:w="5544"/>
            <w:vAlign w:val="center"/>
            <w:tcMar>
              <w:top w:w="110" w:type="dxa"/>
              <w:start w:w="110" w:type="dxa"/>
              <w:bottom w:w="110" w:type="dxa"/>
              <w:end w:w="110" w:type="dxa"/>
            </w:tcMar>
          </w:tcPr>
          <w:p>
            <w:pPr>
              <w:spacing w:after="0"/>
            </w:pPr>
            <w:r>
              <w:rPr>
                <w:b w:val="0"/>
                <w:sz w:val="19"/>
              </w:rPr>
              <w:t>Regional map, exploration, claims, conquest, settlement ownership, resources, and strategic movement.</w:t>
            </w:r>
          </w:p>
        </w:tc>
      </w:tr>
      <w:tr>
        <w:tc>
          <w:tcPr>
            <w:tcW w:type="dxa" w:w="2664"/>
            <w:vAlign w:val="center"/>
            <w:tcMar>
              <w:top w:w="110" w:type="dxa"/>
              <w:start w:w="110" w:type="dxa"/>
              <w:bottom w:w="110" w:type="dxa"/>
              <w:end w:w="110" w:type="dxa"/>
            </w:tcMar>
          </w:tcPr>
          <w:p>
            <w:pPr>
              <w:spacing w:after="0"/>
            </w:pPr>
            <w:r>
              <w:rPr>
                <w:b/>
                <w:sz w:val="19"/>
              </w:rPr>
              <w:t>24</w:t>
            </w:r>
          </w:p>
        </w:tc>
        <w:tc>
          <w:tcPr>
            <w:tcW w:type="dxa" w:w="2952"/>
            <w:vAlign w:val="center"/>
            <w:tcMar>
              <w:top w:w="110" w:type="dxa"/>
              <w:start w:w="110" w:type="dxa"/>
              <w:bottom w:w="110" w:type="dxa"/>
              <w:end w:w="110" w:type="dxa"/>
            </w:tcMar>
          </w:tcPr>
          <w:p>
            <w:pPr>
              <w:spacing w:after="0"/>
            </w:pPr>
            <w:r>
              <w:rPr>
                <w:b w:val="0"/>
                <w:sz w:val="19"/>
              </w:rPr>
              <w:t>Empire management diplomacy and war</w:t>
            </w:r>
          </w:p>
        </w:tc>
        <w:tc>
          <w:tcPr>
            <w:tcW w:type="dxa" w:w="5544"/>
            <w:vAlign w:val="center"/>
            <w:tcMar>
              <w:top w:w="110" w:type="dxa"/>
              <w:start w:w="110" w:type="dxa"/>
              <w:bottom w:w="110" w:type="dxa"/>
              <w:end w:w="110" w:type="dxa"/>
            </w:tcMar>
          </w:tcPr>
          <w:p>
            <w:pPr>
              <w:spacing w:after="0"/>
            </w:pPr>
            <w:r>
              <w:rPr>
                <w:b w:val="0"/>
                <w:sz w:val="19"/>
              </w:rPr>
              <w:t>Vassals or regions, tribute, diplomacy, treaties, strategic armies, campaigns, sieges, and occupation.</w:t>
            </w:r>
          </w:p>
        </w:tc>
      </w:tr>
    </w:tbl>
    <w:p>
      <w:pPr>
        <w:spacing w:after="20"/>
      </w:pPr>
    </w:p>
    <w:p>
      <w:pPr>
        <w:pStyle w:val="Heading1"/>
      </w:pPr>
      <w:r>
        <w:t>Player experience and extensibility</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31"/>
        <w:gridCol w:w="3331"/>
        <w:gridCol w:w="3331"/>
      </w:tblGrid>
      <w:tr>
        <w:tc>
          <w:tcPr>
            <w:tcW w:type="dxa" w:w="2664"/>
            <w:shd w:fill="1F4E78"/>
            <w:vAlign w:val="center"/>
            <w:tcMar>
              <w:top w:w="110" w:type="dxa"/>
              <w:start w:w="110" w:type="dxa"/>
              <w:bottom w:w="110" w:type="dxa"/>
              <w:end w:w="110" w:type="dxa"/>
            </w:tcMar>
          </w:tcPr>
          <w:p>
            <w:pPr>
              <w:spacing w:after="0"/>
            </w:pPr>
            <w:r>
              <w:rPr>
                <w:b/>
                <w:color w:val="FFFFFF"/>
                <w:sz w:val="19"/>
              </w:rPr>
              <w:t>Document</w:t>
            </w:r>
          </w:p>
        </w:tc>
        <w:tc>
          <w:tcPr>
            <w:tcW w:type="dxa" w:w="2952"/>
            <w:shd w:fill="1F4E78"/>
            <w:vAlign w:val="center"/>
            <w:tcMar>
              <w:top w:w="110" w:type="dxa"/>
              <w:start w:w="110" w:type="dxa"/>
              <w:bottom w:w="110" w:type="dxa"/>
              <w:end w:w="110" w:type="dxa"/>
            </w:tcMar>
          </w:tcPr>
          <w:p>
            <w:pPr>
              <w:spacing w:after="0"/>
            </w:pPr>
            <w:r>
              <w:rPr>
                <w:b/>
                <w:color w:val="FFFFFF"/>
                <w:sz w:val="19"/>
              </w:rPr>
              <w:t>Feature</w:t>
            </w:r>
          </w:p>
        </w:tc>
        <w:tc>
          <w:tcPr>
            <w:tcW w:type="dxa" w:w="5544"/>
            <w:shd w:fill="1F4E78"/>
            <w:vAlign w:val="center"/>
            <w:tcMar>
              <w:top w:w="110" w:type="dxa"/>
              <w:start w:w="110" w:type="dxa"/>
              <w:bottom w:w="110" w:type="dxa"/>
              <w:end w:w="110" w:type="dxa"/>
            </w:tcMar>
          </w:tcPr>
          <w:p>
            <w:pPr>
              <w:spacing w:after="0"/>
            </w:pPr>
            <w:r>
              <w:rPr>
                <w:b/>
                <w:color w:val="FFFFFF"/>
                <w:sz w:val="19"/>
              </w:rPr>
              <w:t>Specification scope</w:t>
            </w:r>
          </w:p>
        </w:tc>
      </w:tr>
      <w:tr>
        <w:tc>
          <w:tcPr>
            <w:tcW w:type="dxa" w:w="2664"/>
            <w:vAlign w:val="center"/>
            <w:tcMar>
              <w:top w:w="110" w:type="dxa"/>
              <w:start w:w="110" w:type="dxa"/>
              <w:bottom w:w="110" w:type="dxa"/>
              <w:end w:w="110" w:type="dxa"/>
            </w:tcMar>
          </w:tcPr>
          <w:p>
            <w:pPr>
              <w:spacing w:after="0"/>
            </w:pPr>
            <w:r>
              <w:rPr>
                <w:b/>
                <w:sz w:val="19"/>
              </w:rPr>
              <w:t>25</w:t>
            </w:r>
          </w:p>
        </w:tc>
        <w:tc>
          <w:tcPr>
            <w:tcW w:type="dxa" w:w="2952"/>
            <w:vAlign w:val="center"/>
            <w:tcMar>
              <w:top w:w="110" w:type="dxa"/>
              <w:start w:w="110" w:type="dxa"/>
              <w:bottom w:w="110" w:type="dxa"/>
              <w:end w:w="110" w:type="dxa"/>
            </w:tcMar>
          </w:tcPr>
          <w:p>
            <w:pPr>
              <w:spacing w:after="0"/>
            </w:pPr>
            <w:r>
              <w:rPr>
                <w:b w:val="0"/>
                <w:sz w:val="19"/>
              </w:rPr>
              <w:t>Interface information and automation</w:t>
            </w:r>
          </w:p>
        </w:tc>
        <w:tc>
          <w:tcPr>
            <w:tcW w:type="dxa" w:w="5544"/>
            <w:vAlign w:val="center"/>
            <w:tcMar>
              <w:top w:w="110" w:type="dxa"/>
              <w:start w:w="110" w:type="dxa"/>
              <w:bottom w:w="110" w:type="dxa"/>
              <w:end w:w="110" w:type="dxa"/>
            </w:tcMar>
          </w:tcPr>
          <w:p>
            <w:pPr>
              <w:spacing w:after="0"/>
            </w:pPr>
            <w:r>
              <w:rPr>
                <w:b w:val="0"/>
                <w:sz w:val="19"/>
              </w:rPr>
              <w:t>Build menus, overlays, reports, alerts, priorities, filters, planning tools, camera, and automation controls.</w:t>
            </w:r>
          </w:p>
        </w:tc>
      </w:tr>
      <w:tr>
        <w:tc>
          <w:tcPr>
            <w:tcW w:type="dxa" w:w="2664"/>
            <w:vAlign w:val="center"/>
            <w:tcMar>
              <w:top w:w="110" w:type="dxa"/>
              <w:start w:w="110" w:type="dxa"/>
              <w:bottom w:w="110" w:type="dxa"/>
              <w:end w:w="110" w:type="dxa"/>
            </w:tcMar>
          </w:tcPr>
          <w:p>
            <w:pPr>
              <w:spacing w:after="0"/>
            </w:pPr>
            <w:r>
              <w:rPr>
                <w:b/>
                <w:sz w:val="19"/>
              </w:rPr>
              <w:t>26</w:t>
            </w:r>
          </w:p>
        </w:tc>
        <w:tc>
          <w:tcPr>
            <w:tcW w:type="dxa" w:w="2952"/>
            <w:vAlign w:val="center"/>
            <w:tcMar>
              <w:top w:w="110" w:type="dxa"/>
              <w:start w:w="110" w:type="dxa"/>
              <w:bottom w:w="110" w:type="dxa"/>
              <w:end w:w="110" w:type="dxa"/>
            </w:tcMar>
          </w:tcPr>
          <w:p>
            <w:pPr>
              <w:spacing w:after="0"/>
            </w:pPr>
            <w:r>
              <w:rPr>
                <w:b w:val="0"/>
                <w:sz w:val="19"/>
              </w:rPr>
              <w:t>Tutorial accessibility and game configuration</w:t>
            </w:r>
          </w:p>
        </w:tc>
        <w:tc>
          <w:tcPr>
            <w:tcW w:type="dxa" w:w="5544"/>
            <w:vAlign w:val="center"/>
            <w:tcMar>
              <w:top w:w="110" w:type="dxa"/>
              <w:start w:w="110" w:type="dxa"/>
              <w:bottom w:w="110" w:type="dxa"/>
              <w:end w:w="110" w:type="dxa"/>
            </w:tcMar>
          </w:tcPr>
          <w:p>
            <w:pPr>
              <w:spacing w:after="0"/>
            </w:pPr>
            <w:r>
              <w:rPr>
                <w:b w:val="0"/>
                <w:sz w:val="19"/>
              </w:rPr>
              <w:t>Onboarding, contextual help, difficulty, scenarios, accessibility options, controls, and save management.</w:t>
            </w:r>
          </w:p>
        </w:tc>
      </w:tr>
      <w:tr>
        <w:tc>
          <w:tcPr>
            <w:tcW w:type="dxa" w:w="2664"/>
            <w:vAlign w:val="center"/>
            <w:tcMar>
              <w:top w:w="110" w:type="dxa"/>
              <w:start w:w="110" w:type="dxa"/>
              <w:bottom w:w="110" w:type="dxa"/>
              <w:end w:w="110" w:type="dxa"/>
            </w:tcMar>
          </w:tcPr>
          <w:p>
            <w:pPr>
              <w:spacing w:after="0"/>
            </w:pPr>
            <w:r>
              <w:rPr>
                <w:b/>
                <w:sz w:val="19"/>
              </w:rPr>
              <w:t>27</w:t>
            </w:r>
          </w:p>
        </w:tc>
        <w:tc>
          <w:tcPr>
            <w:tcW w:type="dxa" w:w="2952"/>
            <w:vAlign w:val="center"/>
            <w:tcMar>
              <w:top w:w="110" w:type="dxa"/>
              <w:start w:w="110" w:type="dxa"/>
              <w:bottom w:w="110" w:type="dxa"/>
              <w:end w:w="110" w:type="dxa"/>
            </w:tcMar>
          </w:tcPr>
          <w:p>
            <w:pPr>
              <w:spacing w:after="0"/>
            </w:pPr>
            <w:r>
              <w:rPr>
                <w:b w:val="0"/>
                <w:sz w:val="19"/>
              </w:rPr>
              <w:t>Modding content and procedural variation</w:t>
            </w:r>
          </w:p>
        </w:tc>
        <w:tc>
          <w:tcPr>
            <w:tcW w:type="dxa" w:w="5544"/>
            <w:vAlign w:val="center"/>
            <w:tcMar>
              <w:top w:w="110" w:type="dxa"/>
              <w:start w:w="110" w:type="dxa"/>
              <w:bottom w:w="110" w:type="dxa"/>
              <w:end w:w="110" w:type="dxa"/>
            </w:tcMar>
          </w:tcPr>
          <w:p>
            <w:pPr>
              <w:spacing w:after="0"/>
            </w:pPr>
            <w:r>
              <w:rPr>
                <w:b w:val="0"/>
                <w:sz w:val="19"/>
              </w:rPr>
              <w:t>Data-driven content, mods, procedural maps or histories, custom scenarios, and replayability systems.</w:t>
            </w:r>
          </w:p>
        </w:tc>
      </w:tr>
    </w:tbl>
    <w:p>
      <w:pPr>
        <w:spacing w:after="20"/>
      </w:pPr>
    </w:p>
    <w:p>
      <w:pPr>
        <w:pStyle w:val="Heading1"/>
      </w:pPr>
      <w:r>
        <w:t>Scope note</w:t>
      </w:r>
    </w:p>
    <w:p>
      <w:r>
        <w:rPr>
          <w:b/>
        </w:rPr>
        <w:t xml:space="preserve">Version sensitivity. </w:t>
      </w:r>
      <w:r>
        <w:t>Songs of Syx is actively developed, so individual rules and names can change between releases. Before writing a detailed specification, confirm the target game version and distinguish the observed source mechanic from the proposed adaptation.</w:t>
      </w:r>
    </w:p>
    <w:p>
      <w:pPr>
        <w:pStyle w:val="Heading1"/>
      </w:pPr>
      <w:r>
        <w:t>Initial reference set</w:t>
      </w:r>
    </w:p>
    <w:p>
      <w:pPr>
        <w:pStyle w:val="ListBullet"/>
      </w:pPr>
      <w:r>
        <w:t>Songs of Syx official site and Steam product page for high-level positioning and current release context.</w:t>
      </w:r>
    </w:p>
    <w:p>
      <w:pPr>
        <w:pStyle w:val="ListBullet"/>
      </w:pPr>
      <w:r>
        <w:t>Songs of Syx official wiki for system-level reference, including settlement, world, and defence pages.</w:t>
      </w:r>
    </w:p>
    <w:p>
      <w:pPr>
        <w:pStyle w:val="ListBullet"/>
      </w:pPr>
      <w:r>
        <w:t>In-game observation and player notes should be added when a document moves from catalogue status to detailed specification.</w:t>
      </w:r>
    </w:p>
    <w:sectPr w:rsidR="00FC693F" w:rsidRPr="0006063C" w:rsidSect="00034616">
      <w:pgSz w:w="12240" w:h="15840"/>
      <w:pgMar w:top="1037" w:right="1123" w:bottom="1037"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