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D — Full mathematical derivations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(Section IV)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provides the complete mathematical content for the</w:t>
      </w:r>
      <w:r>
        <w:t xml:space="preserve"> </w:t>
      </w:r>
      <w:r>
        <w:t xml:space="preserve">twelve-axis framework: generative models, variational inference,</w:t>
      </w:r>
      <w:r>
        <w:t xml:space="preserve"> </w:t>
      </w:r>
      <w:r>
        <w:t xml:space="preserve">hierarchical Bayesian likelihood, coherence formulae, ARI and</w:t>
      </w:r>
      <w:r>
        <w:t xml:space="preserve"> </w:t>
      </w:r>
      <w:r>
        <w:t xml:space="preserve">Hungarian definitions, and the algorithmic pseudocode for each axis.</w:t>
      </w:r>
    </w:p>
    <w:bookmarkEnd w:id="9"/>
    <w:bookmarkStart w:id="13" w:name="canonical-generative-model"/>
    <w:p>
      <w:pPr>
        <w:pStyle w:val="Heading1"/>
      </w:pPr>
      <w:r>
        <w:t xml:space="preserve">Canonical generative model</w:t>
      </w:r>
    </w:p>
    <w:bookmarkStart w:id="10" w:name="lda-on-band-frequency-documents"/>
    <w:p>
      <w:pPr>
        <w:pStyle w:val="Heading2"/>
      </w:pPr>
      <w:r>
        <w:t xml:space="preserve">LDA on band-frequency documents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topics, vocabulary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band indices,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documents and</w:t>
      </w:r>
      <w:r>
        <w:t xml:space="preserve"> </w:t>
      </w:r>
      <w:r>
        <w:t xml:space="preserve">hyperparameters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η</m:t>
              </m:r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α</m:t>
              </m:r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"/>
    <w:bookmarkStart w:id="11" w:name="online-vb-lower-bound"/>
    <w:p>
      <w:pPr>
        <w:pStyle w:val="Heading2"/>
      </w:pPr>
      <w:r>
        <w:t xml:space="preserve">Online VB lower bound</w:t>
      </w:r>
    </w:p>
    <w:p>
      <w:pPr>
        <w:pStyle w:val="FirstParagraph"/>
      </w:pPr>
      <w:r>
        <w:t xml:space="preserve">The mean-field variational family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∣</m:t>
        </m:r>
        <m:sSub>
          <m:e>
            <m:r>
              <m:t>γ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∏"/>
                <m:limLoc m:val="undOvr"/>
                <m:subHide m:val="off"/>
                <m:supHide m:val="on"/>
              </m:naryPr>
              <m:sub>
                <m:r>
                  <m:t>n</m:t>
                </m:r>
              </m:sub>
              <m:sup>
                <m:r>
                  <m:t>​</m:t>
                </m:r>
              </m:sup>
              <m:e>
                <m:r>
                  <m:t>q</m:t>
                </m:r>
              </m:e>
            </m:nary>
            <m:r>
              <m:rPr>
                <m:sty m:val="p"/>
              </m:rPr>
              <m:t>(</m:t>
            </m:r>
            <m:sSub>
              <m:e>
                <m:r>
                  <m:t>z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λ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sub>
            </m:sSub>
            <m:r>
              <m:rPr>
                <m:sty m:val="p"/>
              </m:rPr>
              <m:t>)</m:t>
            </m:r>
          </m:e>
        </m:d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q</m:t>
            </m:r>
          </m:e>
        </m:nary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 The per-document ELBO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m:t>[</m:t>
              </m:r>
              <m:r>
                <m:t>ψ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ψ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nary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t>ψ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ψ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v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λ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ψ</m:t>
                  </m:r>
                  <m:r>
                    <m:rPr>
                      <m:sty m:val="p"/>
                    </m:rPr>
                    <m:t>(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</m:e>
                  </m:nary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Updates are Eq. (8) and Eq. (9) of the conference supplement B.</w:t>
      </w:r>
      <w:r>
        <w:t xml:space="preserve"> </w:t>
      </w:r>
      <w:r>
        <w:t xml:space="preserve">Online VB applies the natural-gradient ascent</w:t>
      </w:r>
      <w:r>
        <w:t xml:space="preserve"> </w:t>
      </w:r>
      <m:oMath>
        <m:r>
          <m:t>β</m:t>
        </m:r>
        <m:r>
          <m:rPr>
            <m:sty m:val="p"/>
          </m:rPr>
          <m:t>←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t>β</m:t>
        </m:r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t</m:t>
            </m:r>
          </m:sub>
        </m:sSub>
        <m:sSub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0.7</m:t>
        </m:r>
      </m:oMath>
      <w:r>
        <w:t xml:space="preserve">.</w:t>
      </w:r>
    </w:p>
    <w:bookmarkEnd w:id="11"/>
    <w:bookmarkStart w:id="12" w:name="posterior-summaries"/>
    <w:p>
      <w:pPr>
        <w:pStyle w:val="Heading2"/>
      </w:pPr>
      <w:r>
        <w:t xml:space="preserve">Posterior summaries</w:t>
      </w:r>
    </w:p>
    <w:p>
      <w:pPr>
        <w:pStyle w:val="FirstParagraph"/>
      </w:pPr>
      <m:oMath>
        <m:sSub>
          <m:e>
            <m:r>
              <m:t>ϕ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</m:sub>
            </m:sSub>
          </m:e>
        </m:nary>
      </m:oMath>
      <w:r>
        <w:t xml:space="preserve">;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sSub>
              <m:e>
                <m:r>
                  <m:t>γ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k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e>
        </m:nary>
      </m:oMath>
      <w:r>
        <w:t xml:space="preserve">;</w:t>
      </w:r>
      <w: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.</w:t>
      </w:r>
    </w:p>
    <w:bookmarkEnd w:id="12"/>
    <w:bookmarkEnd w:id="13"/>
    <w:bookmarkStart w:id="16" w:name="axis-f-1-hierarchical-bayesian-model"/>
    <w:p>
      <w:pPr>
        <w:pStyle w:val="Heading1"/>
      </w:pPr>
      <w:r>
        <w:t xml:space="preserve">Axis F-1: hierarchical Bayesian model</w:t>
      </w:r>
    </w:p>
    <w:bookmarkStart w:id="14" w:name="likelihood"/>
    <w:p>
      <w:pPr>
        <w:pStyle w:val="Heading2"/>
      </w:pPr>
      <w:r>
        <w:t xml:space="preserve">Likelihood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methods,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scenes,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folds, observed fold-OA scores</w:t>
      </w:r>
      <w: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f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0.2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ϵ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σ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inference"/>
    <w:p>
      <w:pPr>
        <w:pStyle w:val="Heading2"/>
      </w:pPr>
      <w:r>
        <w:t xml:space="preserve">Inference</w:t>
      </w:r>
    </w:p>
    <w:p>
      <w:pPr>
        <w:pStyle w:val="FirstParagraph"/>
      </w:pPr>
      <w:r>
        <w:t xml:space="preserve">NUTS with 1000 draws + 1000 tune, 2 chains,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&lt;</m:t>
        </m:r>
        <m:r>
          <m:t>1.01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all parameters in all reported runs. Posterior mean and 94% HDI of</w:t>
      </w:r>
      <w:r>
        <w:t xml:space="preserve"> </w:t>
      </w:r>
      <m:oMath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reported; 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are estimated from</w:t>
      </w:r>
      <w:r>
        <w:t xml:space="preserve"> </w:t>
      </w:r>
      <w:r>
        <w:t xml:space="preserve">the joint posterior draws as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sSub>
            <m:e>
              <m:r>
                <m:t>μ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sSubSup>
            <m:e>
              <m:r>
                <m:t>μ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&gt;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draws across two chains.</w:t>
      </w:r>
    </w:p>
    <w:bookmarkEnd w:id="15"/>
    <w:bookmarkEnd w:id="16"/>
    <w:bookmarkStart w:id="19" w:name="axis-f-2-coherence-measures"/>
    <w:p>
      <w:pPr>
        <w:pStyle w:val="Heading1"/>
      </w:pPr>
      <w:r>
        <w:t xml:space="preserve">Axis F-2: coherence measures</w:t>
      </w:r>
    </w:p>
    <w:bookmarkStart w:id="17" w:name="c_v-coherence"/>
    <w:p>
      <w:pPr>
        <w:pStyle w:val="Heading2"/>
      </w:pP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coherence</w:t>
      </w:r>
    </w:p>
    <w:p>
      <w:pPr>
        <w:pStyle w:val="FirstParagraph"/>
      </w:pPr>
      <w:r>
        <w:t xml:space="preserve">For a topic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top-</w:t>
      </w:r>
      <m:oMath>
        <m:r>
          <m:t>N</m:t>
        </m:r>
      </m:oMath>
      <w:r>
        <w:t xml:space="preserve"> </w:t>
      </w:r>
      <w:r>
        <w:t xml:space="preserve">words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</w:t>
      </w:r>
      <w:r>
        <w:t xml:space="preserve"> </w:t>
      </w:r>
      <w:r>
        <w:t xml:space="preserve">NPMI between words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on a sliding window of size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ϵ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topic context vector is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ty m:val="bi"/>
                  </m:rPr>
                  <m:t>u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score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average cosine similarity between the topic context vector and</w:t>
      </w:r>
      <w:r>
        <w:t xml:space="preserve"> </w:t>
      </w:r>
      <w:r>
        <w:t xml:space="preserve">each word’s individual context vector. We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default Röder sliding window of size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110</m:t>
        </m:r>
      </m:oMath>
      <w:r>
        <w:t xml:space="preserve">.</w:t>
      </w:r>
    </w:p>
    <w:bookmarkEnd w:id="17"/>
    <w:bookmarkStart w:id="18" w:name="npmi-and-u-mass"/>
    <w:p>
      <w:pPr>
        <w:pStyle w:val="Heading2"/>
      </w:pPr>
      <w:r>
        <w:t xml:space="preserve">NPMI and U-Mass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NPMI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</m:nary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​</m:t>
        </m:r>
        <m:r>
          <m:rPr>
            <m:sty m:val="p"/>
          </m:rPr>
          <m:t>−</m:t>
        </m:r>
        <m:r>
          <m:rPr>
            <m:sty m:val="p"/>
          </m:rPr>
          <m:t>​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bookmarkEnd w:id="18"/>
    <w:bookmarkEnd w:id="19"/>
    <w:bookmarkStart w:id="20" w:name="axis-f-3-seed-stability"/>
    <w:p>
      <w:pPr>
        <w:pStyle w:val="Heading1"/>
      </w:pPr>
      <w:r>
        <w:t xml:space="preserve">Axis F-3: seed stability</w:t>
      </w:r>
    </w:p>
    <w:p>
      <w:pPr>
        <w:pStyle w:val="FirstParagraph"/>
      </w:pPr>
      <w:r>
        <w:t xml:space="preserve">For each (scene, method): refit five LDA / ProdLDA / ETM under seeds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 For each refit compute KMeans clustering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clusters; report ARI(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KMeans</m:t>
            </m:r>
          </m:sub>
        </m:sSub>
      </m:oMath>
      <w:r>
        <w:t xml:space="preserve">, label),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. Aggregate across seeds as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std.</w:t>
      </w:r>
    </w:p>
    <w:bookmarkEnd w:id="20"/>
    <w:bookmarkStart w:id="25" w:name="axis-f-4-capacity-sensitivity"/>
    <w:p>
      <w:pPr>
        <w:pStyle w:val="Heading1"/>
      </w:pPr>
      <w:r>
        <w:t xml:space="preserve">Axis F-4: capacity sensitivity</w:t>
      </w:r>
    </w:p>
    <w:p>
      <w:pPr>
        <w:pStyle w:val="FirstParagraph"/>
      </w:pPr>
      <w:r>
        <w:t xml:space="preserve">Refit LDA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}</m:t>
        </m:r>
      </m:oMath>
      <w:r>
        <w:t xml:space="preserve"> </w:t>
      </w:r>
      <w:r>
        <w:t xml:space="preserve">with the</w:t>
      </w:r>
      <w:r>
        <w:t xml:space="preserve"> </w:t>
      </w:r>
      <w:r>
        <w:t xml:space="preserve">canonical hyperparameters,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seeds per</w:t>
      </w:r>
      <w:r>
        <w:t xml:space="preserve"> </w:t>
      </w:r>
      <m:oMath>
        <m:r>
          <m:t>K</m:t>
        </m:r>
      </m:oMath>
      <w:r>
        <w:t xml:space="preserve">. Per-</w:t>
      </w:r>
      <m:oMath>
        <m:r>
          <m:t>K</m:t>
        </m:r>
      </m:oMath>
      <w:r>
        <w:t xml:space="preserve"> </w:t>
      </w:r>
      <w:r>
        <w:t xml:space="preserve">aggregates:</w:t>
      </w:r>
    </w:p>
    <w:p>
      <w:pPr>
        <w:numPr>
          <w:ilvl w:val="0"/>
          <w:numId w:val="1001"/>
        </w:numPr>
      </w:pPr>
      <w:r>
        <w:t xml:space="preserve">perplexity</w:t>
      </w:r>
      <m:oMath>
        <m:sSubSup>
          <m:e>
            <m:r>
              <m:t>​</m:t>
            </m:r>
          </m:e>
          <m:sub>
            <m:r>
              <m:t>K</m:t>
            </m:r>
          </m:sub>
          <m:sup>
            <m:r>
              <m:rPr>
                <m:nor/>
                <m:sty m:val="p"/>
              </m:rPr>
              <m:t>test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test</m:t>
                </m:r>
              </m:sub>
            </m:sSub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test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r>
          <m:t>p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w</m:t>
            </m:r>
          </m:e>
          <m:sub>
            <m:r>
              <m:t>d</m:t>
            </m:r>
          </m:sub>
        </m:sSub>
        <m:r>
          <m:rPr>
            <m:sty m:val="p"/>
          </m:rPr>
          <m:t>∣</m:t>
        </m:r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</w:p>
    <w:p>
      <w:pPr>
        <w:numPr>
          <w:ilvl w:val="0"/>
          <w:numId w:val="1001"/>
        </w:numPr>
      </w:pPr>
      <w:r>
        <w:t xml:space="preserve">topic-diversity</w:t>
      </w:r>
      <m:oMath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k</m:t>
                </m:r>
              </m:sub>
            </m:sSub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>
                <m:sty m:val="p"/>
              </m:rPr>
              <m:t>|</m:t>
            </m:r>
          </m:num>
          <m:den>
            <m:r>
              <m:t>N</m:t>
            </m:r>
            <m:r>
              <m:rPr>
                <m:sty m:val="p"/>
              </m:rPr>
              <m:t>⋅</m:t>
            </m:r>
            <m:r>
              <m:t>K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the top-</w:t>
      </w:r>
      <m:oMath>
        <m:r>
          <m:t>N</m:t>
        </m:r>
      </m:oMath>
      <w:r>
        <w:t xml:space="preserve"> </w:t>
      </w:r>
      <w:r>
        <w:t xml:space="preserve">words per topic at capacity</w:t>
      </w:r>
      <w:r>
        <w:t xml:space="preserve"> </w:t>
      </w:r>
      <m:oMath>
        <m:r>
          <m:t>K</m:t>
        </m:r>
      </m:oMath>
      <w:r>
        <w:t xml:space="preserve">,</w:t>
      </w:r>
    </w:p>
    <w:p>
      <w:pPr>
        <w:numPr>
          <w:ilvl w:val="0"/>
          <w:numId w:val="1001"/>
        </w:numPr>
      </w:pPr>
      <w:r>
        <w:t xml:space="preserve">matched-cosine</w:t>
      </w:r>
      <m:oMath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mean over (seed pair, topic)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bSup>
          <m:e>
            <m:r>
              <m:t>ϕ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sSubSup>
          <m:e>
            <m:r>
              <m:t>ϕ</m:t>
            </m:r>
          </m:e>
          <m:sub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Start w:id="24" w:name="subsec:canonical-k"/>
    <w:p>
      <w:pPr>
        <w:pStyle w:val="Heading2"/>
      </w:pPr>
      <w:r>
        <w:t xml:space="preserve">Canonical-</w:t>
      </w:r>
      <m:oMath>
        <m:r>
          <m:t>K</m:t>
        </m:r>
      </m:oMath>
      <w:r>
        <w:t xml:space="preserve"> </w:t>
      </w:r>
      <w:r>
        <w:t xml:space="preserve">rule vs F-4 recommended</w:t>
      </w:r>
      <w:r>
        <w:t xml:space="preserve"> </w:t>
      </w:r>
      <m:oMath>
        <m:r>
          <m:t>K</m:t>
        </m:r>
      </m:oMath>
    </w:p>
    <w:p>
      <w:pPr>
        <w:pStyle w:val="FirstParagraph"/>
      </w:pPr>
      <w:r>
        <w:t xml:space="preserve">The canonical fit used everywhere outside F-4 fixes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canonical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classes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yielding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on Indian Pines, Salinas, KSC and Botswana,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on Pavia U,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on Salinas-A. The F-4 capacity</w:t>
      </w:r>
      <w:r>
        <w:t xml:space="preserve"> </w:t>
      </w:r>
      <w:r>
        <w:t xml:space="preserve">sweep, by contrast, returns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recommended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uniformly</w:t>
      </w:r>
      <w:r>
        <w:t xml:space="preserve"> </w:t>
      </w:r>
      <w:r>
        <w:t xml:space="preserve">across all six labelled scenes (recommendation rule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perplexity_test_norm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npmi_mean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matched_cosine_mean,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data-pipeline/build_lda_sweep.py</w:t>
      </w:r>
      <w:r>
        <w:t xml:space="preserve"> </w:t>
      </w:r>
      <w:r>
        <w:t xml:space="preserve">of the</w:t>
      </w:r>
      <w:r>
        <w:t xml:space="preserve"> </w:t>
      </w:r>
      <w:r>
        <w:t xml:space="preserve">companion code repository). This looks like a contradiction; it is</w:t>
      </w:r>
      <w:r>
        <w:t xml:space="preserve"> </w:t>
      </w:r>
      <w:r>
        <w:t xml:space="preserve">not, and the resolution is that the two rules optimise different</w:t>
      </w:r>
      <w:r>
        <w:t xml:space="preserve"> </w:t>
      </w:r>
      <w:r>
        <w:t xml:space="preserve">objectives.</w:t>
      </w:r>
    </w:p>
    <w:bookmarkStart w:id="21" w:name="f-4-recommended-k."/>
    <w:p>
      <w:pPr>
        <w:pStyle w:val="Heading4"/>
      </w:pPr>
      <w:r>
        <w:t xml:space="preserve">F-4 recommended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t xml:space="preserve">Maximises three intrinsic quality</w:t>
      </w:r>
      <w:r>
        <w:t xml:space="preserve"> </w:t>
      </w:r>
      <w:r>
        <w:t xml:space="preserve">criteria: held-out perplexity, top-</w:t>
      </w:r>
      <m:oMath>
        <m:r>
          <m:t>N</m:t>
        </m:r>
      </m:oMath>
      <w:r>
        <w:t xml:space="preserve"> </w:t>
      </w:r>
      <w:r>
        <w:t xml:space="preserve">word coherence, seed</w:t>
      </w:r>
      <w:r>
        <w:t xml:space="preserve"> </w:t>
      </w:r>
      <w:r>
        <w:t xml:space="preserve">stability. On every labelled scene the F-4 grid shows perplexity</w:t>
      </w:r>
      <w:r>
        <w:t xml:space="preserve"> </w:t>
      </w:r>
      <w:r>
        <w:t xml:space="preserve">monotonically increasing in</w:t>
      </w:r>
      <w:r>
        <w:t xml:space="preserve"> </w:t>
      </w:r>
      <m:oMath>
        <m:r>
          <m:t>K</m:t>
        </m:r>
      </m:oMath>
      <w:r>
        <w:t xml:space="preserve">, topic-diversity monotonically</w:t>
      </w:r>
      <w:r>
        <w:t xml:space="preserve"> </w:t>
      </w:r>
      <w:r>
        <w:t xml:space="preserve">decreasing in</w:t>
      </w:r>
      <w:r>
        <w:t xml:space="preserve"> </w:t>
      </w:r>
      <m:oMath>
        <m:r>
          <m:t>K</m:t>
        </m:r>
      </m:oMath>
      <w:r>
        <w:t xml:space="preserve">, and matched-cosine essentially flat</w:t>
      </w:r>
      <w:r>
        <w:t xml:space="preserve"> </w:t>
      </w:r>
      <w:r>
        <w:t xml:space="preserve">(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0.95</m:t>
        </m:r>
        <m:r>
          <m:rPr>
            <m:sty m:val="p"/>
          </m:rPr>
          <m:t>,</m:t>
        </m:r>
        <m:r>
          <m:t>0.99</m:t>
        </m:r>
        <m:r>
          <m:rPr>
            <m:sty m:val="p"/>
          </m:rPr>
          <m:t>]</m:t>
        </m:r>
      </m:oMath>
      <w:r>
        <w:t xml:space="preserve">); the rule therefore picks the smallest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grid,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. This is the answer to</w:t>
      </w:r>
      <w:r>
        <w:t xml:space="preserve"> </w:t>
      </w:r>
      <w:r>
        <w:rPr>
          <w:i/>
          <w:iCs/>
        </w:rPr>
        <w:t xml:space="preserve">“what is the smallest basis that explains the corpus word</w:t>
      </w:r>
      <w:r>
        <w:rPr>
          <w:i/>
          <w:iCs/>
        </w:rPr>
        <w:t xml:space="preserve"> </w:t>
      </w:r>
      <w:r>
        <w:rPr>
          <w:i/>
          <w:iCs/>
        </w:rPr>
        <w:t xml:space="preserve">frequencies well and is stable across seeds?”</w:t>
      </w:r>
    </w:p>
    <w:bookmarkEnd w:id="21"/>
    <w:bookmarkStart w:id="22" w:name="canonical-k."/>
    <w:p>
      <w:pPr>
        <w:pStyle w:val="Heading4"/>
      </w:pPr>
      <w:r>
        <w:t xml:space="preserve">Canonical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t xml:space="preserve">Answers a different question:</w:t>
      </w:r>
      <w:r>
        <w:t xml:space="preserve"> </w:t>
      </w:r>
      <w:r>
        <w:rPr>
          <w:i/>
          <w:iCs/>
        </w:rPr>
        <w:t xml:space="preserve">“what is the smallest basis that has any chance of being</w:t>
      </w:r>
      <w:r>
        <w:rPr>
          <w:i/>
          <w:iCs/>
        </w:rPr>
        <w:t xml:space="preserve"> </w:t>
      </w:r>
      <w:r>
        <w:rPr>
          <w:i/>
          <w:iCs/>
        </w:rPr>
        <w:t xml:space="preserve">aligned with the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land-cover classes?”</w:t>
      </w:r>
      <w:r>
        <w:t xml:space="preserve"> </w:t>
      </w:r>
      <w:r>
        <w:t xml:space="preserve">A basis 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</m:oMath>
      <w:r>
        <w:t xml:space="preserve"> </w:t>
      </w:r>
      <w:r>
        <w:t xml:space="preserve">forecloses on the</w:t>
      </w:r>
      <w:r>
        <w:t xml:space="preserve"> </w:t>
      </w:r>
      <w:r>
        <w:t xml:space="preserve">topic-routed-hard alignment: the model cannot predict more</w:t>
      </w:r>
      <w:r>
        <w:t xml:space="preserve"> </w:t>
      </w:r>
      <w:r>
        <w:t xml:space="preserve">distinct classes than it has topics, so the per-class precision-</w:t>
      </w:r>
      <w:r>
        <w:t xml:space="preserve"> </w:t>
      </w:r>
      <w:r>
        <w:t xml:space="preserve">recall table of Suppl F </w:t>
      </w:r>
      <w:hyperlink w:anchor="sec:per_class_pr">
        <w:r>
          <w:rPr>
            <w:rStyle w:val="Hyperlink"/>
          </w:rPr>
          <w:t xml:space="preserve">[sec:per_class_pr]</w:t>
        </w:r>
      </w:hyperlink>
      <w:r>
        <w:t xml:space="preserve"> </w:t>
      </w:r>
      <w:r>
        <w:t xml:space="preserve">would have at</w:t>
      </w:r>
      <w:r>
        <w:t xml:space="preserve"> </w:t>
      </w:r>
      <w:r>
        <w:t xml:space="preserve">least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unreachable classes by</w:t>
      </w:r>
      <w:r>
        <w:t xml:space="preserve"> </w:t>
      </w:r>
      <w:r>
        <w:t xml:space="preserve">construction. The canonical rule therefore lower-bounds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</m:oMath>
      <w:r>
        <w:t xml:space="preserve"> </w:t>
      </w:r>
      <w:r>
        <w:t xml:space="preserve">(capped at 12 for parsimony) so that the</w:t>
      </w:r>
      <w:r>
        <w:t xml:space="preserve"> </w:t>
      </w:r>
      <w:r>
        <w:t xml:space="preserve">downstream F-1, F-7, F-8 axes (classification, topic-label</w:t>
      </w:r>
      <w:r>
        <w:t xml:space="preserve"> </w:t>
      </w:r>
      <w:r>
        <w:t xml:space="preserve">coupling, Hungarian alignment) are answerable on the same</w:t>
      </w:r>
      <w:r>
        <w:t xml:space="preserve"> </w:t>
      </w:r>
      <w:r>
        <w:t xml:space="preserve">basis.</w:t>
      </w:r>
    </w:p>
    <w:bookmarkEnd w:id="22"/>
    <w:bookmarkStart w:id="23" w:name="implication-for-the-framework."/>
    <w:p>
      <w:pPr>
        <w:pStyle w:val="Heading4"/>
      </w:pPr>
      <w:r>
        <w:t xml:space="preserve">Implication for the framework.</w:t>
      </w:r>
    </w:p>
    <w:p>
      <w:pPr>
        <w:pStyle w:val="FirstParagraph"/>
      </w:pPr>
      <w:r>
        <w:t xml:space="preserve">The two answers</w:t>
      </w:r>
      <w:r>
        <w:t xml:space="preserve"> </w:t>
      </w:r>
      <w:r>
        <w:t xml:space="preserve">optimise competing notions of</w:t>
      </w:r>
      <w:r>
        <w:t xml:space="preserve"> </w:t>
      </w:r>
      <w:r>
        <w:t xml:space="preserve">“best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 </w:t>
      </w:r>
      <w:r>
        <w:t xml:space="preserve">— F-4 maximises</w:t>
      </w:r>
      <w:r>
        <w:t xml:space="preserve"> </w:t>
      </w:r>
      <w:r>
        <w:t xml:space="preserve">model parsimony, the canonical rule maximises downstream</w:t>
      </w:r>
      <w:r>
        <w:t xml:space="preserve"> </w:t>
      </w:r>
      <w:r>
        <w:t xml:space="preserve">interpretability. The paper documents both rather than forcing</w:t>
      </w:r>
      <w:r>
        <w:t xml:space="preserve"> </w:t>
      </w:r>
      <w:r>
        <w:t xml:space="preserve">a single choice. A second-paper redesign (Suppl</w:t>
      </w:r>
      <w:r>
        <w:t xml:space="preserve"> </w:t>
      </w:r>
      <w:r>
        <w:t xml:space="preserve">G </w:t>
      </w:r>
      <w:hyperlink w:anchor="subsec:ppc">
        <w:r>
          <w:rPr>
            <w:rStyle w:val="Hyperlink"/>
          </w:rPr>
          <w:t xml:space="preserve">[subsec:ppc]</w:t>
        </w:r>
      </w:hyperlink>
      <w:r>
        <w:t xml:space="preserve">) would lift the 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 a fixed</w:t>
      </w:r>
      <w:r>
        <w:t xml:space="preserve"> </w:t>
      </w:r>
      <w:r>
        <w:t xml:space="preserve">parameter to a per-axis sweep (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on every F-axis) to remove the asymmetry.</w:t>
      </w:r>
    </w:p>
    <w:bookmarkEnd w:id="23"/>
    <w:bookmarkEnd w:id="24"/>
    <w:bookmarkEnd w:id="25"/>
    <w:bookmarkStart w:id="26" w:name="axis-f-5-paired-ari-under-masks"/>
    <w:p>
      <w:pPr>
        <w:pStyle w:val="Heading1"/>
      </w:pPr>
      <w:r>
        <w:t xml:space="preserve">Axis F-5: paired ARI under masks</w:t>
      </w:r>
    </w:p>
    <w:p>
      <w:pPr>
        <w:pStyle w:val="FirstParagraph"/>
      </w:pPr>
      <w:r>
        <w:t xml:space="preserve">Detailed in conference supplement B; restated here for cross-reference.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</m:e>
          <m:sub>
            <m:r>
              <m:rPr>
                <m:nor/>
                <m:sty m:val="p"/>
              </m:rPr>
              <m:t>paired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{</m:t>
        </m:r>
        <m:sSub>
          <m:e>
            <m:r>
              <m:t>z</m:t>
            </m:r>
          </m:e>
          <m:sub>
            <m:r>
              <m:t>d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rPr>
                <m:scr m:val="script"/>
                <m:sty m:val="p"/>
              </m:rPr>
              <m:t>S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{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sSub>
          <m:e>
            <m:r>
              <m:rPr>
                <m:sty m:val="p"/>
              </m:rPr>
              <m:t>}</m:t>
            </m:r>
          </m:e>
          <m:sub>
            <m:r>
              <m:rPr>
                <m:scr m:val="script"/>
                <m:sty m:val="p"/>
              </m:rPr>
              <m:t>S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axis-f-6-cross-method-ari"/>
    <w:p>
      <w:pPr>
        <w:pStyle w:val="Heading1"/>
      </w:pPr>
      <w:r>
        <w:t xml:space="preserve">Axis F-6: cross-method ARI</w:t>
      </w:r>
    </w:p>
    <w:p>
      <w:pPr>
        <w:pStyle w:val="FirstParagraph"/>
      </w:pPr>
      <w:r>
        <w:t xml:space="preserve">For each scene compute the partition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label</m:t>
        </m:r>
        <m:r>
          <m:rPr>
            <m:sty m:val="p"/>
          </m:rPr>
          <m:t>,</m:t>
        </m:r>
        <m:r>
          <m:rPr>
            <m:nor/>
            <m:sty m:val="p"/>
          </m:rPr>
          <m:t>topic-dom</m:t>
        </m:r>
        <m:r>
          <m:rPr>
            <m:sty m:val="p"/>
          </m:rPr>
          <m:t>,</m:t>
        </m:r>
        <m:r>
          <m:rPr>
            <m:nor/>
            <m:sty m:val="p"/>
          </m:rPr>
          <m:t>Felz</m:t>
        </m:r>
        <m:r>
          <m:rPr>
            <m:sty m:val="p"/>
          </m:rPr>
          <m:t>,</m:t>
        </m:r>
        <m:r>
          <m:rPr>
            <m:nor/>
            <m:sty m:val="p"/>
          </m:rPr>
          <m:t>SLIC-500</m:t>
        </m:r>
        <m:r>
          <m:rPr>
            <m:sty m:val="p"/>
          </m:rPr>
          <m:t>,</m:t>
        </m:r>
        <m:r>
          <m:rPr>
            <m:nor/>
            <m:sty m:val="p"/>
          </m:rPr>
          <m:t>SLIC-2000</m:t>
        </m:r>
        <m:r>
          <m:rPr>
            <m:sty m:val="p"/>
          </m:rPr>
          <m:t>,</m:t>
        </m:r>
        <m:r>
          <m:rPr>
            <m:nor/>
            <m:sty m:val="p"/>
          </m:rPr>
          <m:t>p-15</m:t>
        </m:r>
        <m:r>
          <m:rPr>
            <m:sty m:val="p"/>
          </m:rPr>
          <m:t>,</m:t>
        </m:r>
        <m:r>
          <m:rPr>
            <m:nor/>
            <m:sty m:val="p"/>
          </m:rPr>
          <m:t>p-7</m:t>
        </m:r>
        <m:r>
          <m:rPr>
            <m:sty m:val="p"/>
          </m:rPr>
          <m:t>,</m:t>
        </m:r>
        <m:r>
          <m:rPr>
            <m:nor/>
            <m:sty m:val="p"/>
          </m:rPr>
          <m:t>px</m:t>
        </m:r>
        <m:r>
          <m:rPr>
            <m:sty m:val="p"/>
          </m:rPr>
          <m:t>}</m:t>
        </m:r>
      </m:oMath>
      <w:r>
        <w:t xml:space="preserve">. The reported matrix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restricted to pixels with a valid (non-sentinel) value in both</w:t>
      </w:r>
      <w:r>
        <w:t xml:space="preserve"> </w:t>
      </w:r>
      <w:r>
        <w:t xml:space="preserve">partitions. NMI matrix is computed analogously.</w:t>
      </w:r>
    </w:p>
    <w:bookmarkEnd w:id="27"/>
    <w:bookmarkStart w:id="28" w:name="axis-f-7-topiclabel-coupling"/>
    <w:p>
      <w:pPr>
        <w:pStyle w:val="Heading1"/>
      </w:pPr>
      <w:r>
        <w:t xml:space="preserve">Axis F-7: topic–label coupling</w:t>
      </w:r>
    </w:p>
    <w:p>
      <w:pPr>
        <w:pStyle w:val="FirstParagraph"/>
      </w:pPr>
      <w:r>
        <w:t xml:space="preserve">For each (canonical topic</w:t>
      </w:r>
      <w:r>
        <w:t xml:space="preserve"> </w:t>
      </w:r>
      <m:oMath>
        <m:r>
          <m:t>t</m:t>
        </m:r>
      </m:oMath>
      <w:r>
        <w:t xml:space="preserve">, label</w:t>
      </w:r>
      <w:r>
        <w:t xml:space="preserve"> </w:t>
      </w:r>
      <m:oMath>
        <m:r>
          <m:t>ℓ</m:t>
        </m:r>
      </m:oMath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ℓ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e>
        </m:nary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ℓ</m:t>
            </m:r>
          </m:sub>
        </m:sSub>
      </m:oMath>
      <w:r>
        <w:t xml:space="preserve"> </w:t>
      </w:r>
      <w:r>
        <w:t xml:space="preserve">the count of pixels with dominant topic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ground</w:t>
      </w:r>
      <w:r>
        <w:t xml:space="preserve"> </w:t>
      </w:r>
      <w:r>
        <w:t xml:space="preserve">truth</w:t>
      </w:r>
      <w:r>
        <w:t xml:space="preserve"> </w:t>
      </w:r>
      <m:oMath>
        <m:r>
          <m:t>ℓ</m:t>
        </m:r>
      </m:oMath>
      <w:r>
        <w:t xml:space="preserve">. Per-topic Shannon entropy: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ℓ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Per-topic KL divergence from the marginal: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L</m:t>
        </m:r>
        <m:r>
          <m:t>​</m:t>
        </m:r>
        <m:d>
          <m:dPr>
            <m:begChr m:val="("/>
            <m:sepChr m:val="∥"/>
            <m:endChr m:val=")"/>
            <m:grow/>
          </m:dPr>
          <m:e>
            <m:r>
              <m:t>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</m:e>
          <m:e>
            <m:r>
              <m:t> </m:t>
            </m:r>
            <m:r>
              <m:t>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ℓ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axis-f-8-per-topic-hungarian-alignment"/>
    <w:p>
      <w:pPr>
        <w:pStyle w:val="Heading1"/>
      </w:pPr>
      <w:r>
        <w:t xml:space="preserve">Axis F-8: per-topic Hungarian alignment</w:t>
      </w:r>
    </w:p>
    <w:p>
      <w:pPr>
        <w:pStyle w:val="FirstParagraph"/>
      </w:pPr>
      <w:r>
        <w:t xml:space="preserve">Confusion matrix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</m:sup>
            </m:sSup>
          </m:sup>
        </m:sSubSup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{</m:t>
        </m:r>
        <m:r>
          <m:t>d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: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∧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Hungarian: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σ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solved by</w:t>
      </w:r>
      <w:r>
        <w:t xml:space="preserve"> </w:t>
      </w:r>
      <w:r>
        <w:rPr>
          <w:rStyle w:val="VerbatimChar"/>
        </w:rPr>
        <w:t xml:space="preserve">scipy.optimize.linear_sum_assignment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</m:oMath>
      <w:r>
        <w:t xml:space="preserve">.</w:t>
      </w:r>
      <w:r>
        <w:t xml:space="preserve"> </w:t>
      </w:r>
      <w:r>
        <w:t xml:space="preserve">Swap rate: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cr m:val="script"/>
            <m:sty m:val="p"/>
          </m:rPr>
          <m:t>S</m:t>
        </m:r>
        <m:sSup>
          <m:e>
            <m:r>
              <m:rPr>
                <m:sty m:val="p"/>
              </m:rPr>
              <m:t>|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[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bookmarkEnd w:id="29"/>
    <w:bookmarkStart w:id="30" w:name="axis-f-9-hidsag-preprocessing-stability"/>
    <w:p>
      <w:pPr>
        <w:pStyle w:val="Heading1"/>
      </w:pPr>
      <w:r>
        <w:t xml:space="preserve">Axis F-9: HIDSAG preprocessing stability</w:t>
      </w:r>
    </w:p>
    <w:p>
      <w:pPr>
        <w:pStyle w:val="FirstParagraph"/>
      </w:pPr>
      <w:r>
        <w:t xml:space="preserve">For each HIDSAG subset,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preprocessing recipes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cont-rem</m:t>
        </m:r>
        <m:r>
          <m:rPr>
            <m:sty m:val="p"/>
          </m:rPr>
          <m:t>,</m:t>
        </m:r>
        <m:r>
          <m:rPr>
            <m:nor/>
            <m:sty m:val="p"/>
          </m:rPr>
          <m:t>deriv</m:t>
        </m:r>
        <m:r>
          <m:rPr>
            <m:sty m:val="p"/>
          </m:rPr>
          <m:t>,</m:t>
        </m:r>
        <m:r>
          <m:rPr>
            <m:nor/>
            <m:sty m:val="p"/>
          </m:rPr>
          <m:t>smooth</m:t>
        </m:r>
        <m:r>
          <m:rPr>
            <m:sty m:val="p"/>
          </m:rPr>
          <m:t>}</m:t>
        </m:r>
      </m:oMath>
      <w:r>
        <w:t xml:space="preserve">. For each recipe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dom-top</m:t>
            </m:r>
          </m:e>
          <m: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dom-top</m:t>
            </m:r>
          </m:e>
          <m: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documents present in both recipes. Per-subset aggregate is the mean</w:t>
      </w:r>
      <w:r>
        <w:t xml:space="preserve"> </w:t>
      </w:r>
      <w:r>
        <w:t xml:space="preserve">over the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pairs.</w:t>
      </w:r>
    </w:p>
    <w:bookmarkEnd w:id="30"/>
    <w:bookmarkStart w:id="31" w:name="axis-f-10-cross-scene-transfer"/>
    <w:p>
      <w:pPr>
        <w:pStyle w:val="Heading1"/>
      </w:pPr>
      <w:r>
        <w:t xml:space="preserve">Axis F-10: cross-scene transfer</w:t>
      </w:r>
    </w:p>
    <w:p>
      <w:pPr>
        <w:pStyle w:val="FirstParagraph"/>
      </w:pPr>
      <w:r>
        <w:t xml:space="preserve">Given scene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canonical basis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</m:oMath>
      <w:r>
        <w:t xml:space="preserve">, project the</w:t>
      </w:r>
      <w:r>
        <w:t xml:space="preserve"> </w:t>
      </w:r>
      <w:r>
        <w:t xml:space="preserve">documents of scene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through one E-step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←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Sup>
                <m:e>
                  <m:r>
                    <m:t>λ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←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computed from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frozen. The transfer</w:t>
      </w:r>
      <w:r>
        <w:t xml:space="preserve"> </w:t>
      </w:r>
      <w:r>
        <w:t xml:space="preserve">report is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label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←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axis-f-11-ratedistortion"/>
    <w:p>
      <w:pPr>
        <w:pStyle w:val="Heading1"/>
      </w:pPr>
      <w:r>
        <w:t xml:space="preserve">Axis F-11: rate–distortion</w:t>
      </w:r>
    </w:p>
    <w:p>
      <w:pPr>
        <w:pStyle w:val="FirstParagraph"/>
      </w:pPr>
      <w:r>
        <w:t xml:space="preserve">Reconstruct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  <m:sSubSup>
          <m:e>
            <m:r>
              <m:t>ϕ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in the</w:t>
      </w:r>
      <w:r>
        <w:t xml:space="preserve"> </w:t>
      </w:r>
      <w:r>
        <w:t xml:space="preserve">band-frequency-count space, then de-quantise to a continuous</w:t>
      </w:r>
      <w:r>
        <w:t xml:space="preserve"> </w:t>
      </w:r>
      <w:r>
        <w:t xml:space="preserve">reflectance via the inverse of the canonical tokenisation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rPr>
                <m:nor/>
                <m:sty m:val="p"/>
              </m:rPr>
              <m:t>recon</m:t>
            </m:r>
          </m:sup>
        </m:sSubSup>
        <m:r>
          <m:rPr>
            <m:sty m:val="p"/>
          </m:rPr>
          <m:t>/</m:t>
        </m:r>
        <m:r>
          <m:t>Q</m:t>
        </m:r>
      </m:oMath>
      <w:r>
        <w:t xml:space="preserve">. Distortion is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x</m:t>
            </m:r>
          </m:e>
          <m:sub>
            <m:r>
              <m:t>d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rate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bits.</w:t>
      </w:r>
    </w:p>
    <w:bookmarkEnd w:id="32"/>
    <w:bookmarkStart w:id="33" w:name="axis-f-12-external-baseline"/>
    <w:p>
      <w:pPr>
        <w:pStyle w:val="Heading1"/>
      </w:pPr>
      <w:r>
        <w:t xml:space="preserve">Axis F-12: external baseline</w:t>
      </w:r>
    </w:p>
    <w:p>
      <w:pPr>
        <w:pStyle w:val="FirstParagraph"/>
      </w:pPr>
      <w:r>
        <w:t xml:space="preserve">For each labelled scene, collect three reference OA values from</w:t>
      </w:r>
      <w:r>
        <w:t xml:space="preserve"> </w:t>
      </w:r>
      <w:r>
        <w:t xml:space="preserve">prior published work. Report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Sup>
          <m:e>
            <m:r>
              <m:rPr>
                <m:nor/>
                <m:sty m:val="p"/>
              </m:rPr>
              <m:t>OA</m:t>
            </m:r>
          </m:e>
          <m:sub>
            <m:r>
              <m:t>s</m:t>
            </m:r>
          </m:sub>
          <m:sup>
            <m:r>
              <m:rPr>
                <m:nor/>
                <m:sty m:val="p"/>
              </m:rPr>
              <m:t>topic-routed-soft</m:t>
            </m:r>
          </m:sup>
        </m:sSubSup>
        <m:r>
          <m:rPr>
            <m:sty m:val="p"/>
          </m:rPr>
          <m:t>−</m:t>
        </m:r>
        <m:sSub>
          <m:e>
            <m:r>
              <m:rPr>
                <m:sty m:val="p"/>
              </m:rPr>
              <m:t>max</m:t>
            </m:r>
          </m:e>
          <m:sub>
            <m:r>
              <m:t>r</m:t>
            </m:r>
            <m:r>
              <m:rPr>
                <m:sty m:val="p"/>
              </m:rPr>
              <m:t>∈</m:t>
            </m:r>
            <m:r>
              <m:rPr>
                <m:nor/>
                <m:sty m:val="p"/>
              </m:rPr>
              <m:t>refs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b>
        </m:sSub>
        <m:sSubSup>
          <m:e>
            <m:r>
              <m:rPr>
                <m:nor/>
                <m:sty m:val="p"/>
              </m:rPr>
              <m:t>OA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with the per-paper split caveat.</w:t>
      </w:r>
    </w:p>
    <w:bookmarkEnd w:id="33"/>
    <w:bookmarkStart w:id="34" w:name="Xbf19b15b17a4700037e38c78e9ba5808ff439f5"/>
    <w:p>
      <w:pPr>
        <w:pStyle w:val="Heading1"/>
      </w:pPr>
      <w:r>
        <w:t xml:space="preserve">Inverse Hungarian (used in F-8 swap-rate computation)</w:t>
      </w:r>
    </w:p>
    <w:p>
      <w:pPr>
        <w:pStyle w:val="FirstParagraph"/>
      </w:pPr>
      <w:r>
        <w:t xml:space="preserve">The post-permutation confusion matrix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used for the</w:t>
      </w:r>
      <w:r>
        <w:t xml:space="preserve"> </w:t>
      </w:r>
      <w:r>
        <w:t xml:space="preserve">journal Figure 3(b) panel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moves the matched diagonal to the main diagonal. The right</w:t>
      </w:r>
      <w:r>
        <w:t xml:space="preserve"> </w:t>
      </w:r>
      <w:r>
        <w:t xml:space="preserve">panel of journal Figure 3 visualises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directly.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D — Full mathematical derivations Companion to: Beyond Accuracy (Section IV)</dc:title>
  <dc:creator>Felipe Santibáñez-Leal</dc:creator>
  <cp:keywords/>
  <dcterms:created xsi:type="dcterms:W3CDTF">2026-05-18T09:07:52Z</dcterms:created>
  <dcterms:modified xsi:type="dcterms:W3CDTF">2026-05-18T09:07:52Z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../../bibliography/refs.bib</vt:lpwstr>
  </property>
  <property fmtid="{D5CDD505-2E9C-101B-9397-08002B2CF9AE}" pid="3" name="date">
    <vt:lpwstr>2026</vt:lpwstr>
  </property>
</Properties>
</file>