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Journal Supplementary E — Full dataset descriptors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Beyond Accuracy</w:t>
      </w:r>
      <w:r>
        <w:t xml:space="preserve"> </w:t>
      </w:r>
      <w:r>
        <w:t xml:space="preserve">(Section V)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supplement expands Section V with the complete provenance and</w:t>
      </w:r>
      <w:r>
        <w:t xml:space="preserve"> </w:t>
      </w:r>
      <w:r>
        <w:t xml:space="preserve">per-subset technical inventory of the eleven evaluation entities:</w:t>
      </w:r>
      <w:r>
        <w:t xml:space="preserve"> </w:t>
      </w:r>
      <w:r>
        <w:t xml:space="preserve">six labelled HSI scenes (treated in conference supplement C and</w:t>
      </w:r>
      <w:r>
        <w:t xml:space="preserve"> </w:t>
      </w:r>
      <w:r>
        <w:t xml:space="preserve">summarised below for cross-reference) plus five HIDSAG mineralogical</w:t>
      </w:r>
      <w:r>
        <w:t xml:space="preserve"> </w:t>
      </w:r>
      <w:r>
        <w:t xml:space="preserve">subsets (treated here at full depth).</w:t>
      </w:r>
    </w:p>
    <w:bookmarkEnd w:id="9"/>
    <w:bookmarkStart w:id="10" w:name="labelled-hsi-scenes"/>
    <w:p>
      <w:pPr>
        <w:pStyle w:val="Heading1"/>
      </w:pPr>
      <w:r>
        <w:t xml:space="preserve">Labelled HSI scenes</w:t>
      </w:r>
    </w:p>
    <w:p>
      <w:pPr>
        <w:pStyle w:val="FirstParagraph"/>
      </w:pPr>
      <w:r>
        <w:t xml:space="preserve">Six standard labelled benchmarks from the UPV/EHU Hyperspectral</w:t>
      </w:r>
      <w:r>
        <w:t xml:space="preserve"> </w:t>
      </w:r>
      <w:r>
        <w:t xml:space="preserve">Remote Sensing Scenes collection: Indian Pines (AVIRIS, 200 bands,</w:t>
      </w:r>
      <w:r>
        <w:t xml:space="preserve"> </w:t>
      </w:r>
      <w:r>
        <w:t xml:space="preserve">2812 documents in the canonical fit, 12 topics), Salinas (AVIRIS,</w:t>
      </w:r>
      <w:r>
        <w:t xml:space="preserve"> </w:t>
      </w:r>
      <w:r>
        <w:t xml:space="preserve">204, 3520, 12), Salinas-A (subset of Salinas, 204, 1320, 6), Pavia</w:t>
      </w:r>
      <w:r>
        <w:t xml:space="preserve"> </w:t>
      </w:r>
      <w:r>
        <w:t xml:space="preserve">University (ROSIS-03, 103, 1980, 9; VNIR-only sensor), Kennedy Space</w:t>
      </w:r>
      <w:r>
        <w:t xml:space="preserve"> </w:t>
      </w:r>
      <w:r>
        <w:t xml:space="preserve">Center (AVIRIS-Old, 176, 2686, 12), Botswana (EO-1 Hyperion, 145,</w:t>
      </w:r>
      <w:r>
        <w:t xml:space="preserve"> </w:t>
      </w:r>
      <w:r>
        <w:t xml:space="preserve">2775, 12). See conference supplement C for per-scene sensor and</w:t>
      </w:r>
      <w:r>
        <w:t xml:space="preserve"> </w:t>
      </w:r>
      <w:r>
        <w:t xml:space="preserve">class-catalogue details.</w:t>
      </w:r>
    </w:p>
    <w:bookmarkEnd w:id="10"/>
    <w:bookmarkStart w:id="17" w:name="hidsag-mineralogical-subsets"/>
    <w:p>
      <w:pPr>
        <w:pStyle w:val="Heading1"/>
      </w:pPr>
      <w:r>
        <w:t xml:space="preserve">HIDSAG mineralogical subsets</w:t>
      </w:r>
    </w:p>
    <w:bookmarkStart w:id="11" w:name="source."/>
    <w:p>
      <w:pPr>
        <w:pStyle w:val="Heading4"/>
      </w:pPr>
      <w:r>
        <w:t xml:space="preserve">Source.</w:t>
      </w:r>
    </w:p>
    <w:p>
      <w:pPr>
        <w:pStyle w:val="FirstParagraph"/>
      </w:pPr>
      <w:r>
        <w:t xml:space="preserve">HIDSAG is a curated industrial database of</w:t>
      </w:r>
      <w:r>
        <w:t xml:space="preserve"> </w:t>
      </w:r>
      <w:r>
        <w:t xml:space="preserve">hyperspectral point-spectrum measurements over mineralogical</w:t>
      </w:r>
      <w:r>
        <w:t xml:space="preserve"> </w:t>
      </w:r>
      <w:r>
        <w:t xml:space="preserve">samples acquired with a SWIR sensor (the</w:t>
      </w:r>
      <w:r>
        <w:t xml:space="preserve"> </w:t>
      </w:r>
      <w:r>
        <w:rPr>
          <w:rStyle w:val="VerbatimChar"/>
        </w:rPr>
        <w:t xml:space="preserve">swir_low</w:t>
      </w:r>
      <w:r>
        <w:t xml:space="preserve"> </w:t>
      </w:r>
      <w:r>
        <w:t xml:space="preserve">modality consumed in this paper covers</w:t>
      </w:r>
      <w:r>
        <w:t xml:space="preserve"> </w:t>
      </w:r>
      <m:oMath>
        <m:r>
          <m:rPr>
            <m:sty m:val="p"/>
          </m:rPr>
          <m:t>∼</m:t>
        </m:r>
        <m:r>
          <m:t>1100</m:t>
        </m:r>
      </m:oMath>
      <w:r>
        <w:t xml:space="preserve">–</w:t>
      </w:r>
      <m:oMath>
        <m:r>
          <m:t>2500</m:t>
        </m:r>
      </m:oMath>
      <w:r>
        <w:t xml:space="preserve"> nm in 268 contiguous narrow bands). The database</w:t>
      </w:r>
      <w:r>
        <w:t xml:space="preserve"> </w:t>
      </w:r>
      <w:r>
        <w:t xml:space="preserve">exposes five thematic subsets distributed as zip archives.</w:t>
      </w:r>
    </w:p>
    <w:bookmarkEnd w:id="11"/>
    <w:bookmarkStart w:id="12" w:name="geochem"/>
    <w:p>
      <w:pPr>
        <w:pStyle w:val="Heading2"/>
      </w:pPr>
      <w:r>
        <w:t xml:space="preserve">GEOCHEM</w:t>
      </w:r>
    </w:p>
    <w:p>
      <w:pPr>
        <w:pStyle w:val="FirstParagraph"/>
      </w:pPr>
      <w:r>
        <w:rPr>
          <w:b/>
          <w:bCs/>
        </w:rPr>
        <w:t xml:space="preserve">Content.</w:t>
      </w:r>
      <w:r>
        <w:t xml:space="preserve"> </w:t>
      </w:r>
      <w:r>
        <w:t xml:space="preserve">28 samples, 106 crop ROIs, 318 hyperspectral</w:t>
      </w:r>
      <w:r>
        <w:t xml:space="preserve"> </w:t>
      </w:r>
      <w:r>
        <w:t xml:space="preserve">cubes, 18 geochemical target variables: Al, As, Ca, Cu, Fe, K, Mo,</w:t>
      </w:r>
      <w:r>
        <w:t xml:space="preserve"> </w:t>
      </w:r>
      <w:r>
        <w:t xml:space="preserve">Nb, P, Pb, Rb, S, Si, Sr, Ti, Y, Zn, Zr (in ppm or wt-%, depending</w:t>
      </w:r>
      <w:r>
        <w:t xml:space="preserve"> </w:t>
      </w:r>
      <w:r>
        <w:t xml:space="preserve">on element). Each sample carries a per-ROI cube and per-ROI</w:t>
      </w:r>
      <w:r>
        <w:t xml:space="preserve"> </w:t>
      </w:r>
      <w:r>
        <w:t xml:space="preserve">geochemistry vector; the document construction averages cube pixels</w:t>
      </w:r>
      <w:r>
        <w:t xml:space="preserve"> </w:t>
      </w:r>
      <w:r>
        <w:t xml:space="preserve">within each ROI to produce one document per (sample, crop,</w:t>
      </w:r>
      <w:r>
        <w:t xml:space="preserve"> </w:t>
      </w:r>
      <w:r>
        <w:t xml:space="preserve">measurement).</w:t>
      </w:r>
    </w:p>
    <w:bookmarkEnd w:id="12"/>
    <w:bookmarkStart w:id="13" w:name="geomet"/>
    <w:p>
      <w:pPr>
        <w:pStyle w:val="Heading2"/>
      </w:pPr>
      <w:r>
        <w:t xml:space="preserve">GEOMET</w:t>
      </w:r>
    </w:p>
    <w:p>
      <w:pPr>
        <w:pStyle w:val="FirstParagraph"/>
      </w:pPr>
      <w:r>
        <w:rPr>
          <w:b/>
          <w:bCs/>
        </w:rPr>
        <w:t xml:space="preserve">Content.</w:t>
      </w:r>
      <w:r>
        <w:t xml:space="preserve"> </w:t>
      </w:r>
      <w:r>
        <w:t xml:space="preserve">146 samples (the largest by sample count), 146</w:t>
      </w:r>
      <w:r>
        <w:t xml:space="preserve"> </w:t>
      </w:r>
      <w:r>
        <w:t xml:space="preserve">crops, 438 cubes, 5 geometallurgical target variables: Cu rec</w:t>
      </w:r>
      <w:r>
        <w:t xml:space="preserve"> </w:t>
      </w:r>
      <w:r>
        <w:t xml:space="preserve">(% copper recovery), Lime cons (kg/t lime consumption), Mo rec</w:t>
      </w:r>
      <w:r>
        <w:t xml:space="preserve"> </w:t>
      </w:r>
      <w:r>
        <w:t xml:space="preserve">(% molybdenum recovery), PH (pulp pH), WI (Bond work index in</w:t>
      </w:r>
      <w:r>
        <w:t xml:space="preserve"> </w:t>
      </w:r>
      <w:r>
        <w:t xml:space="preserve">kWh/t). The targets are continuous regression labels rather than</w:t>
      </w:r>
      <w:r>
        <w:t xml:space="preserve"> </w:t>
      </w:r>
      <w:r>
        <w:t xml:space="preserve">classification labels; the band-mask diagnostic on GEOMET uses</w:t>
      </w:r>
      <w:r>
        <w:t xml:space="preserve"> </w:t>
      </w:r>
      <w:r>
        <w:t xml:space="preserve">between-covariate-variance band ranking against these continuous</w:t>
      </w:r>
      <w:r>
        <w:t xml:space="preserve"> </w:t>
      </w:r>
      <w:r>
        <w:t xml:space="preserve">targets.</w:t>
      </w:r>
    </w:p>
    <w:bookmarkEnd w:id="13"/>
    <w:bookmarkStart w:id="14" w:name="mineral1"/>
    <w:p>
      <w:pPr>
        <w:pStyle w:val="Heading2"/>
      </w:pPr>
      <w:r>
        <w:t xml:space="preserve">MINERAL1</w:t>
      </w:r>
    </w:p>
    <w:p>
      <w:pPr>
        <w:pStyle w:val="FirstParagraph"/>
      </w:pPr>
      <w:r>
        <w:rPr>
          <w:b/>
          <w:bCs/>
        </w:rPr>
        <w:t xml:space="preserve">Content.</w:t>
      </w:r>
      <w:r>
        <w:t xml:space="preserve"> </w:t>
      </w:r>
      <w:r>
        <w:t xml:space="preserve">99 samples, 99 crops, 297 cubes, 33 mineral</w:t>
      </w:r>
      <w:r>
        <w:t xml:space="preserve"> </w:t>
      </w:r>
      <w:r>
        <w:t xml:space="preserve">abundance target variables: Actinolite, Albite, Andesina (An40),</w:t>
      </w:r>
      <w:r>
        <w:t xml:space="preserve"> </w:t>
      </w:r>
      <w:r>
        <w:t xml:space="preserve">Anhydrite/Gypsum, Anorthite, Apatite, Biotite, Bornite, Bytownite</w:t>
      </w:r>
      <w:r>
        <w:t xml:space="preserve"> </w:t>
      </w:r>
      <w:r>
        <w:t xml:space="preserve">(An80), Calcite, Chalcopyrite, Chalcosite/Digenite, Chlorite,</w:t>
      </w:r>
      <w:r>
        <w:t xml:space="preserve"> </w:t>
      </w:r>
      <w:r>
        <w:t xml:space="preserve">Covelite, Epidote, Fe Oxides, Fe-Clays, K-Feldspar, Kaolinite,</w:t>
      </w:r>
      <w:r>
        <w:t xml:space="preserve"> </w:t>
      </w:r>
      <w:r>
        <w:t xml:space="preserve">Labradorite (An60), Molybdenite, Muscovite/Sericite, Oligoclasa</w:t>
      </w:r>
      <w:r>
        <w:t xml:space="preserve"> </w:t>
      </w:r>
      <w:r>
        <w:t xml:space="preserve">(An20), Other Amphibole, Others, Others Carbonates, Others Ti</w:t>
      </w:r>
      <w:r>
        <w:t xml:space="preserve"> </w:t>
      </w:r>
      <w:r>
        <w:t xml:space="preserve">Minerals, Pyrite, Pyroxene, Quartz, Rutile, Siderite, Tourmaline.</w:t>
      </w:r>
      <w:r>
        <w:t xml:space="preserve"> </w:t>
      </w:r>
      <w:r>
        <w:t xml:space="preserve">The list mixes feldspars (An20/40/60/80), sulfides</w:t>
      </w:r>
      <w:r>
        <w:t xml:space="preserve"> </w:t>
      </w:r>
      <w:r>
        <w:t xml:space="preserve">(Bornite/Chalcopyrite/Chalcosite/Covelite/Pyrite/Molybdenite),</w:t>
      </w:r>
      <w:r>
        <w:t xml:space="preserve"> </w:t>
      </w:r>
      <w:r>
        <w:t xml:space="preserve">carbonates (Calcite/Siderite), and hydrothermal indicators</w:t>
      </w:r>
      <w:r>
        <w:t xml:space="preserve"> </w:t>
      </w:r>
      <w:r>
        <w:t xml:space="preserve">(Tourmaline/Muscovite/Kaolinite) at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 % mineralogy per ROI.</w:t>
      </w:r>
    </w:p>
    <w:bookmarkEnd w:id="14"/>
    <w:bookmarkStart w:id="15" w:name="mineral2"/>
    <w:p>
      <w:pPr>
        <w:pStyle w:val="Heading2"/>
      </w:pPr>
      <w:r>
        <w:t xml:space="preserve">MINERAL2</w:t>
      </w:r>
    </w:p>
    <w:p>
      <w:pPr>
        <w:pStyle w:val="FirstParagraph"/>
      </w:pPr>
      <w:r>
        <w:rPr>
          <w:b/>
          <w:bCs/>
        </w:rPr>
        <w:t xml:space="preserve">Content.</w:t>
      </w:r>
      <w:r>
        <w:t xml:space="preserve"> </w:t>
      </w:r>
      <w:r>
        <w:t xml:space="preserve">20 samples (smallest), 20 crops, 60 cubes, 25</w:t>
      </w:r>
      <w:r>
        <w:t xml:space="preserve"> </w:t>
      </w:r>
      <w:r>
        <w:t xml:space="preserve">mineral abundance target variables: Alunite, Ankerite, Apatite,</w:t>
      </w:r>
      <w:r>
        <w:t xml:space="preserve"> </w:t>
      </w:r>
      <w:r>
        <w:t xml:space="preserve">Bornite, Calcite, Chalcocite, Chalcopyrite, Clinochlore, Enargite,</w:t>
      </w:r>
      <w:r>
        <w:t xml:space="preserve"> </w:t>
      </w:r>
      <w:r>
        <w:t xml:space="preserve">Gypsum, Hematite, Illite, Kaolin group, Molybdenite, Muscovite,</w:t>
      </w:r>
      <w:r>
        <w:t xml:space="preserve"> </w:t>
      </w:r>
      <w:r>
        <w:t xml:space="preserve">Orthoclase, Phengite, Pirit, Plagioclase, Pyrophyllite, Quartz,</w:t>
      </w:r>
      <w:r>
        <w:t xml:space="preserve"> </w:t>
      </w:r>
      <w:r>
        <w:t xml:space="preserve">Siderite, Sphalerite, Tenantite, Tetrahedrite. MINERAL2 covers a</w:t>
      </w:r>
      <w:r>
        <w:t xml:space="preserve"> </w:t>
      </w:r>
      <w:r>
        <w:t xml:space="preserve">slightly different mineralogical regime from MINERAL1, emphasising</w:t>
      </w:r>
      <w:r>
        <w:t xml:space="preserve"> </w:t>
      </w:r>
      <w:r>
        <w:t xml:space="preserve">high-sulfidation epithermal mineralogy (Alunite, Pyrophyllite,</w:t>
      </w:r>
      <w:r>
        <w:t xml:space="preserve"> </w:t>
      </w:r>
      <w:r>
        <w:t xml:space="preserve">Enargite). The very high topic-confidence MINERAL2 reports under the</w:t>
      </w:r>
      <w:r>
        <w:t xml:space="preserve"> </w:t>
      </w:r>
      <w:r>
        <w:t xml:space="preserve">band-mask diagnostic (</w:t>
      </w:r>
      <m:oMath>
        <m:r>
          <m:rPr>
            <m:sty m:val="p"/>
          </m:rPr>
          <m:t>&gt;</m:t>
        </m:r>
        <m:r>
          <m:t>0.94</m:t>
        </m:r>
      </m:oMath>
      <w:r>
        <w:t xml:space="preserve"> </w:t>
      </w:r>
      <w:r>
        <w:t xml:space="preserve">across all four masks) is consistent</w:t>
      </w:r>
      <w:r>
        <w:t xml:space="preserve"> </w:t>
      </w:r>
      <w:r>
        <w:t xml:space="preserve">with the sharper mineralogical signatures in this subset.</w:t>
      </w:r>
    </w:p>
    <w:bookmarkEnd w:id="15"/>
    <w:bookmarkStart w:id="16" w:name="porphyry"/>
    <w:p>
      <w:pPr>
        <w:pStyle w:val="Heading2"/>
      </w:pPr>
      <w:r>
        <w:t xml:space="preserve">PORPHYRY</w:t>
      </w:r>
    </w:p>
    <w:p>
      <w:pPr>
        <w:pStyle w:val="FirstParagraph"/>
      </w:pPr>
      <w:r>
        <w:rPr>
          <w:b/>
          <w:bCs/>
        </w:rPr>
        <w:t xml:space="preserve">Content.</w:t>
      </w:r>
      <w:r>
        <w:t xml:space="preserve"> </w:t>
      </w:r>
      <w:r>
        <w:t xml:space="preserve">28 samples, 56 crops, 168 cubes, 11 target</w:t>
      </w:r>
      <w:r>
        <w:t xml:space="preserve"> </w:t>
      </w:r>
      <w:r>
        <w:t xml:space="preserve">variables: Bt (% biotite), Cal (% calcite), Esp (% specularite),</w:t>
      </w:r>
      <w:r>
        <w:t xml:space="preserve"> </w:t>
      </w:r>
      <w:r>
        <w:t xml:space="preserve">Hem (% hematite), Kao (% kaolinite), Mb (% molybdenite), Mgt</w:t>
      </w:r>
      <w:r>
        <w:t xml:space="preserve"> </w:t>
      </w:r>
      <w:r>
        <w:t xml:space="preserve">(% magnetite), Py (% pyrite), Qz (% quartz), [Cpy + Py + Bo]</w:t>
      </w:r>
      <w:r>
        <w:t xml:space="preserve"> </w:t>
      </w:r>
      <w:r>
        <w:t xml:space="preserve">(% combined sulfides), group (categorical lithology). PORPHYRY is</w:t>
      </w:r>
      <w:r>
        <w:t xml:space="preserve"> </w:t>
      </w:r>
      <w:r>
        <w:t xml:space="preserve">the most operational-decision-relevant of the five subsets:</w:t>
      </w:r>
      <w:r>
        <w:t xml:space="preserve"> </w:t>
      </w:r>
      <w:r>
        <w:t xml:space="preserve">porphyry-copper deposits are the primary global Cu source and the</w:t>
      </w:r>
      <w:r>
        <w:t xml:space="preserve"> </w:t>
      </w:r>
      <w:r>
        <w:t xml:space="preserve">target variables track the alteration and sulfide-distribution</w:t>
      </w:r>
      <w:r>
        <w:t xml:space="preserve"> </w:t>
      </w:r>
      <w:r>
        <w:t xml:space="preserve">characteristics that drive resource estimation.</w:t>
      </w:r>
    </w:p>
    <w:bookmarkEnd w:id="16"/>
    <w:bookmarkEnd w:id="17"/>
    <w:bookmarkStart w:id="18" w:name="document-construction-on-hidsag"/>
    <w:p>
      <w:pPr>
        <w:pStyle w:val="Heading1"/>
      </w:pPr>
      <w:r>
        <w:t xml:space="preserve">Document construction on HIDSAG</w:t>
      </w:r>
    </w:p>
    <w:p>
      <w:pPr>
        <w:pStyle w:val="FirstParagraph"/>
      </w:pPr>
      <w:r>
        <w:t xml:space="preserve">For each subset the corpus consists of one spectrum per (sample,</w:t>
      </w:r>
      <w:r>
        <w:t xml:space="preserve"> </w:t>
      </w:r>
      <w:r>
        <w:t xml:space="preserve">crop, cube) tuple, computed as the per-band mean over labelled</w:t>
      </w:r>
      <w:r>
        <w:t xml:space="preserve"> </w:t>
      </w:r>
      <w:r>
        <w:t xml:space="preserve">pixels within the crop ROI. The tokenisation follows the same</w:t>
      </w:r>
      <w:r>
        <w:t xml:space="preserve"> </w:t>
      </w:r>
      <w:r>
        <w:t xml:space="preserve">min-max + quantisation pipeline used on the labelled scenes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levels). The document count entering the canonical</w:t>
      </w:r>
      <w:r>
        <w:t xml:space="preserve"> </w:t>
      </w:r>
      <w:r>
        <w:t xml:space="preserve">fit on each subset is the cube count: GEOCHEM 318, GEOMET 438,</w:t>
      </w:r>
      <w:r>
        <w:t xml:space="preserve"> </w:t>
      </w:r>
      <w:r>
        <w:t xml:space="preserve">MINERAL1 297, MINERAL2 60, PORPHYRY 168.</w:t>
      </w:r>
    </w:p>
    <w:bookmarkEnd w:id="18"/>
    <w:bookmarkStart w:id="19" w:name="sensor-differences-from-labelled-scenes"/>
    <w:p>
      <w:pPr>
        <w:pStyle w:val="Heading1"/>
      </w:pPr>
      <w:r>
        <w:t xml:space="preserve">Sensor differences from labelled scenes</w:t>
      </w:r>
    </w:p>
    <w:p>
      <w:pPr>
        <w:pStyle w:val="FirstParagraph"/>
      </w:pPr>
      <w:r>
        <w:t xml:space="preserve">HIDSAG is acquired with a point spectrometer rather than an imaging</w:t>
      </w:r>
      <w:r>
        <w:t xml:space="preserve"> </w:t>
      </w:r>
      <w:r>
        <w:t xml:space="preserve">array, so the spatial-coherence assumptions that motivate</w:t>
      </w:r>
      <w:r>
        <w:t xml:space="preserve"> </w:t>
      </w:r>
      <w:r>
        <w:t xml:space="preserve">Felzenszwalb / SLIC on the labelled scenes do not apply. The</w:t>
      </w:r>
      <w:r>
        <w:t xml:space="preserve"> </w:t>
      </w:r>
      <w:r>
        <w:t xml:space="preserve">framework axes F-6 (cross-method spatial agreement) and F-7</w:t>
      </w:r>
      <w:r>
        <w:t xml:space="preserve"> </w:t>
      </w:r>
      <w:r>
        <w:t xml:space="preserve">(spatial topic-label coupling on the H </w:t>
      </w:r>
      <m:oMath>
        <m:r>
          <m:rPr>
            <m:sty m:val="p"/>
          </m:rPr>
          <m:t>×</m:t>
        </m:r>
      </m:oMath>
      <w:r>
        <w:t xml:space="preserve"> W raster) are</w:t>
      </w:r>
      <w:r>
        <w:t xml:space="preserve"> </w:t>
      </w:r>
      <w:r>
        <w:t xml:space="preserve">therefore not run on HIDSAG; axes F-1, F-2, F-3, F-4, F-5, F-8,</w:t>
      </w:r>
      <w:r>
        <w:t xml:space="preserve"> </w:t>
      </w:r>
      <w:r>
        <w:t xml:space="preserve">F-9, F-10, F-11, F-12 are all run, with F-5 using</w:t>
      </w:r>
      <w:r>
        <w:t xml:space="preserve"> </w:t>
      </w:r>
      <w:r>
        <w:t xml:space="preserve">between-covariate-variance band ranking instead of the labelled</w:t>
      </w:r>
      <w:r>
        <w:t xml:space="preserve"> </w:t>
      </w:r>
      <w:r>
        <w:t xml:space="preserve">Fisher discriminant.</w:t>
      </w:r>
    </w:p>
    <w:bookmarkEnd w:id="19"/>
    <w:bookmarkStart w:id="20" w:name="continuous-measurement-layer"/>
    <w:p>
      <w:pPr>
        <w:pStyle w:val="Heading1"/>
      </w:pPr>
      <w:r>
        <w:t xml:space="preserve">Continuous-measurement layer</w:t>
      </w:r>
    </w:p>
    <w:p>
      <w:pPr>
        <w:pStyle w:val="FirstParagraph"/>
      </w:pPr>
      <w:r>
        <w:t xml:space="preserve">A complementary derived layer at</w:t>
      </w:r>
      <w:r>
        <w:t xml:space="preserve"> </w:t>
      </w:r>
      <w:r>
        <w:rPr>
          <w:rStyle w:val="VerbatimChar"/>
        </w:rPr>
        <w:t xml:space="preserve">data/derived/hidsag_topic_measurements/&lt;subset&gt;.json</w:t>
      </w:r>
      <w:r>
        <w:t xml:space="preserve"> </w:t>
      </w:r>
      <w:r>
        <w:t xml:space="preserve">joins the per-document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matrix shipped by the band-mask</w:t>
      </w:r>
      <w:r>
        <w:t xml:space="preserve"> </w:t>
      </w:r>
      <w:r>
        <w:t xml:space="preserve">builder with the continuous mineralogical / geometallurgical assay</w:t>
      </w:r>
      <w:r>
        <w:t xml:space="preserve"> </w:t>
      </w:r>
      <w:r>
        <w:t xml:space="preserve">values extracted from each sample’s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 </w:t>
      </w:r>
      <w:r>
        <w:t xml:space="preserve">(per the</w:t>
      </w:r>
      <w:r>
        <w:t xml:space="preserve"> </w:t>
      </w:r>
      <w:r>
        <w:t xml:space="preserve">HIDSAG figshare data release </w:t>
      </w:r>
      <w:r>
        <w:t xml:space="preserve">(Ehrenfeld 2023)</w:t>
      </w:r>
      <w:r>
        <w:t xml:space="preserve">). The layer</w:t>
      </w:r>
      <w:r>
        <w:t xml:space="preserve"> </w:t>
      </w:r>
      <w:r>
        <w:t xml:space="preserve">ships 427 records across the five subsets, exposing 5–33 continuous</w:t>
      </w:r>
      <w:r>
        <w:t xml:space="preserve"> </w:t>
      </w:r>
      <w:r>
        <w:t xml:space="preserve">variables per subset:</w:t>
      </w:r>
    </w:p>
    <w:p>
      <w:pPr>
        <w:numPr>
          <w:ilvl w:val="0"/>
          <w:numId w:val="1001"/>
        </w:numPr>
      </w:pPr>
      <w:r>
        <w:t xml:space="preserve">GEOMET: Cu rec, Mo rec, PH, Lime cons, WI (5 vars, 146 records)</w:t>
      </w:r>
    </w:p>
    <w:p>
      <w:pPr>
        <w:numPr>
          <w:ilvl w:val="0"/>
          <w:numId w:val="1001"/>
        </w:numPr>
      </w:pPr>
      <w:r>
        <w:t xml:space="preserve">MINERAL1: 33 mineral abundance % (99 records)</w:t>
      </w:r>
    </w:p>
    <w:p>
      <w:pPr>
        <w:numPr>
          <w:ilvl w:val="0"/>
          <w:numId w:val="1001"/>
        </w:numPr>
      </w:pPr>
      <w:r>
        <w:t xml:space="preserve">MINERAL2: 25 mineral abundance % (20 records)</w:t>
      </w:r>
    </w:p>
    <w:p>
      <w:pPr>
        <w:numPr>
          <w:ilvl w:val="0"/>
          <w:numId w:val="1001"/>
        </w:numPr>
      </w:pPr>
      <w:r>
        <w:t xml:space="preserve">GEOCHEM: 18 elemental wt%/ppm (106 records)</w:t>
      </w:r>
    </w:p>
    <w:p>
      <w:pPr>
        <w:numPr>
          <w:ilvl w:val="0"/>
          <w:numId w:val="1001"/>
        </w:numPr>
      </w:pPr>
      <w:r>
        <w:t xml:space="preserve">PORPHYRY: 11 mineral abundance % incl. biotite / molybdenite</w:t>
      </w:r>
      <w:r>
        <w:t xml:space="preserve"> </w:t>
      </w:r>
      <w:r>
        <w:t xml:space="preserve">/ chalcopyrite (56 records)</w:t>
      </w:r>
    </w:p>
    <w:p>
      <w:pPr>
        <w:pStyle w:val="FirstParagraph"/>
      </w:pPr>
      <w:r>
        <w:t xml:space="preserve">This layer feeds the topic-conditional ridges, the GEOMET corner</w:t>
      </w:r>
      <w:r>
        <w:t xml:space="preserve"> </w:t>
      </w:r>
      <w:r>
        <w:t xml:space="preserve">plot, and the HIDSAG mosaic of supplement I. Figure</w:t>
      </w:r>
      <w:r>
        <w:t xml:space="preserve"> </w:t>
      </w:r>
      <w:hyperlink w:anchor="fig:hidsag-ridges">
        <w:r>
          <w:rPr>
            <w:rStyle w:val="Hyperlink"/>
          </w:rPr>
          <w:t xml:space="preserve">[fig:hidsag-ridges]</w:t>
        </w:r>
      </w:hyperlink>
      <w:r>
        <w:t xml:space="preserve"> </w:t>
      </w:r>
      <w:r>
        <w:t xml:space="preserve">of Suppl I reports the most striking signal:</w:t>
      </w:r>
      <w:r>
        <w:t xml:space="preserve"> </w:t>
      </w:r>
      <w:r>
        <w:t xml:space="preserve">on PORPHYRY, per-topic mean % biotite ranges</w:t>
      </w:r>
      <w:r>
        <w:t xml:space="preserve"> </w:t>
      </w:r>
      <m:oMath>
        <m:r>
          <m:t>1.1</m:t>
        </m:r>
      </m:oMath>
      <w:r>
        <w:t xml:space="preserve">–</w:t>
      </w:r>
      <m:oMath>
        <m:r>
          <m:t>39.6</m:t>
        </m:r>
      </m:oMath>
      <w:r>
        <w:t xml:space="preserve">,</w:t>
      </w:r>
      <w:r>
        <w:t xml:space="preserve"> </w:t>
      </w:r>
      <w:r>
        <w:t xml:space="preserve">indicating that the canonical-fit topic basis on PORPHYRY captures</w:t>
      </w:r>
      <w:r>
        <w:t xml:space="preserve"> </w:t>
      </w:r>
      <w:r>
        <w:t xml:space="preserve">the porphyry-alteration mineralogy at high fidelity. The extraction</w:t>
      </w:r>
      <w:r>
        <w:t xml:space="preserve"> </w:t>
      </w:r>
      <w:r>
        <w:t xml:space="preserve">builder is documented at</w:t>
      </w:r>
      <w:r>
        <w:t xml:space="preserve"> </w:t>
      </w:r>
      <w:r>
        <w:rPr>
          <w:rStyle w:val="VerbatimChar"/>
        </w:rPr>
        <w:t xml:space="preserve">data-pipeline/build_hidsag_topic_measurements.py</w:t>
      </w:r>
      <w:r>
        <w:t xml:space="preserve">.</w:t>
      </w:r>
    </w:p>
    <w:bookmarkEnd w:id="20"/>
    <w:bookmarkStart w:id="25" w:name="citation-status"/>
    <w:p>
      <w:pPr>
        <w:pStyle w:val="Heading1"/>
      </w:pPr>
      <w:r>
        <w:t xml:space="preserve">Citation status</w:t>
      </w:r>
    </w:p>
    <w:p>
      <w:pPr>
        <w:pStyle w:val="FirstParagraph"/>
      </w:pPr>
      <w:r>
        <w:t xml:space="preserve">HIDSAG is cited via two complementary bibliographic entries: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hidsag2023</w:t>
      </w:r>
      <w:r>
        <w:t xml:space="preserve"> </w:t>
      </w:r>
      <w:r>
        <w:t xml:space="preserve">— Ehrenfeld, Egaña,</w:t>
      </w:r>
      <w:r>
        <w:t xml:space="preserve"> </w:t>
      </w:r>
      <w:r>
        <w:t xml:space="preserve">Santibáñez-Leal, Garrido, Ojeda, Townley, and Navarro,</w:t>
      </w:r>
      <w:r>
        <w:t xml:space="preserve"> </w:t>
      </w:r>
      <w:r>
        <w:t xml:space="preserve">“HIDSAG: Hyperspectral Image Database for Supervised Analysis in</w:t>
      </w:r>
      <w:r>
        <w:t xml:space="preserve"> </w:t>
      </w:r>
      <w:r>
        <w:t xml:space="preserve">Geometallurgy”</w:t>
      </w:r>
      <w:r>
        <w:t xml:space="preserve">,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10:164 (2023),</w:t>
      </w:r>
      <w:r>
        <w:t xml:space="preserve"> </w:t>
      </w:r>
      <w:r>
        <w:t xml:space="preserve">doi:10.1038/s41597-023-02061-x. The canonical paper introducing the</w:t>
      </w:r>
      <w:r>
        <w:t xml:space="preserve"> </w:t>
      </w:r>
      <w:r>
        <w:t xml:space="preserve">database, its acquisition protocol, and the five thematic subsets.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hidsag2023figshare</w:t>
      </w:r>
      <w:r>
        <w:t xml:space="preserve"> </w:t>
      </w:r>
      <w:r>
        <w:t xml:space="preserve">— Ehrenfeld (2023),</w:t>
      </w:r>
      <w:r>
        <w:t xml:space="preserve"> </w:t>
      </w:r>
      <w:r>
        <w:t xml:space="preserve">HIDSAG figshare Collection,</w:t>
      </w:r>
      <w:r>
        <w:t xml:space="preserve"> </w:t>
      </w:r>
      <w:r>
        <w:t xml:space="preserve">doi:10.6084/m9.figshare.c.5983921.v1. The data release accompanying</w:t>
      </w:r>
      <w:r>
        <w:t xml:space="preserve"> </w:t>
      </w:r>
      <w:r>
        <w:t xml:space="preserve">the paper.</w:t>
      </w:r>
    </w:p>
    <w:p>
      <w:pPr>
        <w:pStyle w:val="FirstParagraph"/>
      </w:pPr>
      <w:r>
        <w:t xml:space="preserve">The reference implementation is at</w:t>
      </w:r>
      <w:r>
        <w:t xml:space="preserve"> </w:t>
      </w:r>
      <w:hyperlink r:id="rId21">
        <w:r>
          <w:rPr>
            <w:rStyle w:val="Hyperlink"/>
          </w:rPr>
          <w:t xml:space="preserve">https://github.com/alges/hidsag</w:t>
        </w:r>
      </w:hyperlink>
      <w:r>
        <w:t xml:space="preserve">.</w:t>
      </w:r>
      <w:r>
        <w:t xml:space="preserve"> </w:t>
      </w:r>
      <w:r>
        <w:t xml:space="preserve">The companion code repository for this manuscript consumes a curated</w:t>
      </w:r>
      <w:r>
        <w:t xml:space="preserve"> </w:t>
      </w:r>
      <w:r>
        <w:t xml:space="preserve">subset documented at</w:t>
      </w:r>
      <w:r>
        <w:t xml:space="preserve"> </w:t>
      </w:r>
      <w:r>
        <w:rPr>
          <w:rStyle w:val="VerbatimChar"/>
        </w:rPr>
        <w:t xml:space="preserve">data/derived/core/hidsag_curated_subset.json</w:t>
      </w:r>
      <w:r>
        <w:t xml:space="preserve">. Felipe</w:t>
      </w:r>
      <w:r>
        <w:t xml:space="preserve"> </w:t>
      </w:r>
      <w:r>
        <w:t xml:space="preserve">Santibáñez-Leal is a co-author of</w:t>
      </w:r>
      <w:r>
        <w:t xml:space="preserve"> </w:t>
      </w:r>
      <w:r>
        <w:rPr>
          <w:rStyle w:val="VerbatimChar"/>
        </w:rPr>
        <w:t xml:space="preserve">hidsag2023</w:t>
      </w:r>
      <w:r>
        <w:t xml:space="preserve">; the present</w:t>
      </w:r>
      <w:r>
        <w:t xml:space="preserve"> </w:t>
      </w:r>
      <w:r>
        <w:t xml:space="preserve">manuscript is methodologically distinct (multi-axis evaluation</w:t>
      </w:r>
      <w:r>
        <w:t xml:space="preserve"> </w:t>
      </w:r>
      <w:r>
        <w:t xml:space="preserve">framework for topic models applied to HIDSAG) and cites HIDSAG as a</w:t>
      </w:r>
      <w:r>
        <w:t xml:space="preserve"> </w:t>
      </w:r>
      <w:r>
        <w:t xml:space="preserve">data source rather than re-publishing its content.</w:t>
      </w:r>
    </w:p>
    <w:bookmarkStart w:id="24" w:name="refs"/>
    <w:bookmarkStart w:id="23" w:name="ref-hidsag2023figshare"/>
    <w:p>
      <w:pPr>
        <w:pStyle w:val="Bibliography"/>
      </w:pPr>
      <w:r>
        <w:t xml:space="preserve">Ehrenfeld, Alejandro. 2023.</w:t>
      </w:r>
      <w:r>
        <w:t xml:space="preserve"> </w:t>
      </w:r>
      <w:r>
        <w:rPr>
          <w:i/>
          <w:iCs/>
        </w:rPr>
        <w:t xml:space="preserve">HIDSAG</w:t>
      </w:r>
      <w:r>
        <w:rPr>
          <w:i/>
          <w:iCs/>
        </w:rPr>
        <w:t xml:space="preserve">: Hyperspectral Image Database for Supervised Analysis in Geometallurgy</w:t>
      </w:r>
      <w:r>
        <w:t xml:space="preserve">. Figshare Collection,</w:t>
      </w:r>
      <w:r>
        <w:t xml:space="preserve"> </w:t>
      </w:r>
      <w:hyperlink r:id="rId22">
        <w:r>
          <w:rPr>
            <w:rStyle w:val="Hyperlink"/>
          </w:rPr>
          <w:t xml:space="preserve">https://doi.org/10.6084/m9.figshare.c.5983921.v1</w:t>
        </w:r>
      </w:hyperlink>
      <w:r>
        <w:t xml:space="preserve">; figshare.</w:t>
      </w:r>
      <w:r>
        <w:t xml:space="preserve"> </w:t>
      </w:r>
      <w:hyperlink r:id="rId22">
        <w:r>
          <w:rPr>
            <w:rStyle w:val="Hyperlink"/>
          </w:rPr>
          <w:t xml:space="preserve">https://doi.org/10.6084/m9.figshare.c.5983921.v1</w:t>
        </w:r>
      </w:hyperlink>
      <w:r>
        <w:t xml:space="preserve">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doi.org/10.6084/m9.figshare.c.5983921.v1" TargetMode="External" /><Relationship Type="http://schemas.openxmlformats.org/officeDocument/2006/relationships/hyperlink" Id="rId21" Target="https://github.com/alges/hidsa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6084/m9.figshare.c.5983921.v1" TargetMode="External" /><Relationship Type="http://schemas.openxmlformats.org/officeDocument/2006/relationships/hyperlink" Id="rId21" Target="https://github.com/alges/hidsa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Supplementary E — Full dataset descriptors Companion to: Beyond Accuracy (Section V)</dc:title>
  <dc:creator>Felipe Santibáñez-Leal</dc:creator>
  <cp:keywords/>
  <dcterms:created xsi:type="dcterms:W3CDTF">2026-05-15T12:27:10Z</dcterms:created>
  <dcterms:modified xsi:type="dcterms:W3CDTF">2026-05-15T12:27:10Z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D:\_Repos\_Web_Projects\CAOS_LDA_HSI_Paper\bibliography\refs.bib</vt:lpwstr>
  </property>
  <property fmtid="{D5CDD505-2E9C-101B-9397-08002B2CF9AE}" pid="3" name="date">
    <vt:lpwstr>2026</vt:lpwstr>
  </property>
</Properties>
</file>