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df" ContentType="application/pdf"/>
  <Override PartName="/word/media/rId24.pdf" ContentType="application/pdf"/>
  <Override PartName="/word/media/rId14.pdf" ContentType="application/pdf"/>
  <Override PartName="/word/media/rId10.pdf" ContentType="application/pdf"/>
  <Override PartName="/word/media/rId1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H — Topic spectra: do different topics</w:t>
      </w:r>
      <w:r>
        <w:t xml:space="preserve"> </w:t>
      </w:r>
      <w:r>
        <w:t xml:space="preserve">have different basis spectra?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(cross-section visual annex)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-and-motivation"/>
    <w:p>
      <w:pPr>
        <w:pStyle w:val="Heading1"/>
      </w:pPr>
      <w:r>
        <w:t xml:space="preserve">Scope and motivation</w:t>
      </w:r>
    </w:p>
    <w:p>
      <w:pPr>
        <w:pStyle w:val="FirstParagraph"/>
      </w:pPr>
      <w:r>
        <w:t xml:space="preserve">A core interpretability question that the journal main paper assumes</w:t>
      </w:r>
      <w:r>
        <w:t xml:space="preserve"> </w:t>
      </w:r>
      <w:r>
        <w:t xml:space="preserve">but does not visualise at depth:</w:t>
      </w:r>
      <w:r>
        <w:t xml:space="preserve"> </w:t>
      </w:r>
      <w:r>
        <w:rPr>
          <w:b/>
          <w:bCs/>
        </w:rPr>
        <w:t xml:space="preserve">do different topics have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basis spectra?</w:t>
      </w:r>
      <w:r>
        <w:t xml:space="preserve"> </w:t>
      </w:r>
      <w:r>
        <w:t xml:space="preserve">A topic basis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rows are</w:t>
      </w:r>
      <w:r>
        <w:t xml:space="preserve"> </w:t>
      </w:r>
      <w:r>
        <w:t xml:space="preserve">visually indistinguishable would be uninterpretable regardless of</w:t>
      </w:r>
      <w:r>
        <w:t xml:space="preserve"> </w:t>
      </w:r>
      <w:r>
        <w:t xml:space="preserve">how the framework’s twelve axes look. We dedicate this supplement</w:t>
      </w:r>
      <w:r>
        <w:t xml:space="preserve"> </w:t>
      </w:r>
      <w:r>
        <w:t xml:space="preserve">to answering the question with four complementary figures.</w:t>
      </w:r>
    </w:p>
    <w:bookmarkEnd w:id="9"/>
    <w:bookmarkStart w:id="18" w:name="sec:cards"/>
    <w:p>
      <w:pPr>
        <w:pStyle w:val="Heading1"/>
      </w:pPr>
      <w:r>
        <w:t xml:space="preserve">Per-topic profile cards</w:t>
      </w:r>
    </w:p>
    <w:bookmarkStart w:id="13" w:name="fig:cards-salinas-a"/>
    <w:p>
      <w:pPr>
        <w:pStyle w:val="CaptionedFigure"/>
      </w:pPr>
      <w:r>
        <w:drawing>
          <wp:inline>
            <wp:extent cx="5334000" cy="333779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topic-profile-cards-salinas-a.pdf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Per-topic profile cards for Salinas-A (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). Each card</w:t>
      </w:r>
      <w:r>
        <w:t xml:space="preserve"> </w:t>
      </w:r>
      <w:r>
        <w:t xml:space="preserve">shows the basis spectrum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in colour with the top-5</w:t>
      </w:r>
      <w:r>
        <w:t xml:space="preserve"> </w:t>
      </w:r>
      <w:r>
        <w:t xml:space="preserve">word wavelengths marked as red dashed verticals; water bands</w:t>
      </w:r>
      <w:r>
        <w:t xml:space="preserve"> </w:t>
      </w:r>
      <w:r>
        <w:t xml:space="preserve">shaded; title gives the dominant ground-truth label with the</w:t>
      </w:r>
      <w:r>
        <w:t xml:space="preserve"> </w:t>
      </w:r>
      <w:r>
        <w:t xml:space="preserve">canonical class colour, plus prevalence and dominant-doc count.</w:t>
      </w:r>
      <w:r>
        <w:t xml:space="preserve"> </w:t>
      </w:r>
      <w:r>
        <w:t xml:space="preserve">The six curves are visibly distinct: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peaks in the red-edge</w:t>
      </w:r>
      <w:r>
        <w:t xml:space="preserve"> </w:t>
      </w:r>
      <w:r>
        <w:t xml:space="preserve">(720 nm),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has the dominant SWIR signal driving its 36.5%</w:t>
      </w:r>
      <w:r>
        <w:t xml:space="preserve"> </w:t>
      </w:r>
      <w:r>
        <w:t xml:space="preserve">prevalence,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is the soil-class topic with a flat profile.</w:t>
      </w:r>
    </w:p>
    <w:bookmarkEnd w:id="13"/>
    <w:bookmarkStart w:id="17" w:name="fig:cards-indian-pines"/>
    <w:p>
      <w:pPr>
        <w:pStyle w:val="CaptionedFigure"/>
      </w:pPr>
      <w:r>
        <w:drawing>
          <wp:inline>
            <wp:extent cx="5334000" cy="32940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topic-profile-cards-indian-pines.pdf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Per-topic profile cards for Indian Pines (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). The</w:t>
      </w:r>
      <w:r>
        <w:t xml:space="preserve"> </w:t>
      </w:r>
      <w:r>
        <w:t xml:space="preserve">twelve cards reveal a richer topic-vegetation correspondence: corn-,</w:t>
      </w:r>
      <w:r>
        <w:t xml:space="preserve"> </w:t>
      </w:r>
      <w:r>
        <w:t xml:space="preserve">soybean-, and woods-aligned topics each have distinct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shapes</w:t>
      </w:r>
      <w:r>
        <w:t xml:space="preserve"> </w:t>
      </w:r>
      <w:r>
        <w:t xml:space="preserve">in the 700–1300 nm region but converge in the SWIR cellulose</w:t>
      </w:r>
      <w:r>
        <w:t xml:space="preserve"> </w:t>
      </w:r>
      <w:r>
        <w:t xml:space="preserve">window.</w:t>
      </w:r>
    </w:p>
    <w:bookmarkEnd w:id="17"/>
    <w:p>
      <w:pPr>
        <w:pStyle w:val="BodyText"/>
      </w:pPr>
      <w:r>
        <w:t xml:space="preserve">The per-topic card representation makes simultaneously visible:</w:t>
      </w:r>
      <w:r>
        <w:t xml:space="preserve"> </w:t>
      </w:r>
      <w:r>
        <w:t xml:space="preserve">(i) the spectral shape of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; (ii) which bands the topic</w:t>
      </w:r>
      <w:r>
        <w:t xml:space="preserve"> </w:t>
      </w:r>
      <w:r>
        <w:t xml:space="preserve">emphasises (top-5 wavelength marks); (iii) how the topic maps to</w:t>
      </w:r>
      <w:r>
        <w:t xml:space="preserve"> </w:t>
      </w:r>
      <w:r>
        <w:t xml:space="preserve">the ground-truth label set; (iv) the topic’s data weight (prevalence</w:t>
      </w:r>
      <w:r>
        <w:t xml:space="preserve"> </w:t>
      </w:r>
      <w:r>
        <w:t xml:space="preserve">and dominant-doc count). A reader who is unconvinced by a single</w:t>
      </w:r>
      <w:r>
        <w:t xml:space="preserve"> </w:t>
      </w:r>
      <w:r>
        <w:t xml:space="preserve">summary metric (paired ARI,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, ARI vs label) can inspect the</w:t>
      </w:r>
      <w:r>
        <w:t xml:space="preserve"> </w:t>
      </w:r>
      <w:r>
        <w:t xml:space="preserve">cards and read the interpretability claim off the figure directly.</w:t>
      </w:r>
    </w:p>
    <w:bookmarkEnd w:id="18"/>
    <w:bookmarkStart w:id="23" w:name="Xc16470ce4835dea87c968da061eb36a28813401"/>
    <w:p>
      <w:pPr>
        <w:pStyle w:val="Heading1"/>
      </w:pPr>
      <w:r>
        <w:t xml:space="preserve">Topic spectra contrast: overlay with annotated physical features</w:t>
      </w:r>
    </w:p>
    <w:bookmarkStart w:id="22" w:name="fig:contrast"/>
    <w:p>
      <w:pPr>
        <w:pStyle w:val="CaptionedFigure"/>
      </w:pPr>
      <w:r>
        <w:drawing>
          <wp:inline>
            <wp:extent cx="5334000" cy="424362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topic-spectra-contrast.pdf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spectra contrast on (a) Salinas-A and (b) Kennedy</w:t>
      </w:r>
      <w:r>
        <w:t xml:space="preserve"> </w:t>
      </w:r>
      <w:r>
        <w:t xml:space="preserve">Space Center. Every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overlaid on a single axis, with</w:t>
      </w:r>
      <w:r>
        <w:t xml:space="preserve"> </w:t>
      </w:r>
      <w:r>
        <w:t xml:space="preserve">line-width proportional to topic prevalence and vertical dotted</w:t>
      </w:r>
      <w:r>
        <w:t xml:space="preserve"> </w:t>
      </w:r>
      <w:r>
        <w:t xml:space="preserve">lines marking eleven diagnostic absorption / reflectance features.</w:t>
      </w:r>
      <w:r>
        <w:t xml:space="preserve"> </w:t>
      </w:r>
      <w:r>
        <w:t xml:space="preserve">On Salinas-A (band-robust, paired ARI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under SWIR-only) the</w:t>
      </w:r>
      <w:r>
        <w:t xml:space="preserve"> </w:t>
      </w:r>
      <w:r>
        <w:t xml:space="preserve">six topic curves separate cleanly in the SWIR cellulose</w:t>
      </w:r>
      <w:r>
        <w:t xml:space="preserve"> </w:t>
      </w:r>
      <w:r>
        <w:t xml:space="preserve">(2100 nm) and Al-OH (2200 nm) windows. On KSC (band-fragile, paired</w:t>
      </w:r>
      <w:r>
        <w:t xml:space="preserve"> </w:t>
      </w:r>
      <w:r>
        <w:t xml:space="preserve">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 </w:t>
      </w:r>
      <w:r>
        <w:t xml:space="preserve">across all masks) the twelve topic curves</w:t>
      </w:r>
      <w:r>
        <w:t xml:space="preserve"> </w:t>
      </w:r>
      <w:r>
        <w:t xml:space="preserve">diverge mostly in the VNIR red-edge, with weak or absent SWIR</w:t>
      </w:r>
      <w:r>
        <w:t xml:space="preserve"> </w:t>
      </w:r>
      <w:r>
        <w:t xml:space="preserve">features — consistent with the band-fragility finding.</w:t>
      </w:r>
    </w:p>
    <w:bookmarkEnd w:id="22"/>
    <w:p>
      <w:pPr>
        <w:pStyle w:val="BodyText"/>
      </w:pPr>
      <w:r>
        <w:t xml:space="preserve">This figure operationalises the question</w:t>
      </w:r>
      <w:r>
        <w:t xml:space="preserve"> </w:t>
      </w:r>
      <w:r>
        <w:t xml:space="preserve">“how visually different</w:t>
      </w:r>
      <w:r>
        <w:t xml:space="preserve"> </w:t>
      </w:r>
      <w:r>
        <w:t xml:space="preserve">are the topics on each scene?”</w:t>
      </w:r>
      <w:r>
        <w:t xml:space="preserve"> </w:t>
      </w:r>
      <w:r>
        <w:t xml:space="preserve">by laying every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r>
        <w:t xml:space="preserve">common axis and forcing the reader to assess separation by eye.</w:t>
      </w:r>
      <w:r>
        <w:t xml:space="preserve"> </w:t>
      </w:r>
      <w:r>
        <w:t xml:space="preserve">The contrast between (a) Salinas-A’s clean SWIR separation and (b)</w:t>
      </w:r>
      <w:r>
        <w:t xml:space="preserve"> </w:t>
      </w:r>
      <w:r>
        <w:t xml:space="preserve">KSC’s narrow VNIR-only separation is itself an interpretability</w:t>
      </w:r>
      <w:r>
        <w:t xml:space="preserve"> </w:t>
      </w:r>
      <w:r>
        <w:t xml:space="preserve">finding: scenes whose canonical topics are band-robust are also</w:t>
      </w:r>
      <w:r>
        <w:t xml:space="preserve"> </w:t>
      </w:r>
      <w:r>
        <w:t xml:space="preserve">the scenes whose canonical topic spectra differ in the most</w:t>
      </w:r>
      <w:r>
        <w:t xml:space="preserve"> </w:t>
      </w:r>
      <w:r>
        <w:t xml:space="preserve">spectrally meaningful (i.e. SWIR-mineralogical / cellulose) regions.</w:t>
      </w:r>
    </w:p>
    <w:bookmarkEnd w:id="23"/>
    <w:bookmarkStart w:id="28" w:name="topic-pairwise-cosine-distance-heatmap"/>
    <w:p>
      <w:pPr>
        <w:pStyle w:val="Heading1"/>
      </w:pPr>
      <w:r>
        <w:t xml:space="preserve">Topic pairwise cosine distance heatmap</w:t>
      </w:r>
    </w:p>
    <w:bookmarkStart w:id="27" w:name="fig:pairwise"/>
    <w:p>
      <w:pPr>
        <w:pStyle w:val="CaptionedFigure"/>
      </w:pPr>
      <w:r>
        <w:drawing>
          <wp:inline>
            <wp:extent cx="5334000" cy="384132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opic-pairwise-distance.pdf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Pairwise cosine distance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 all six</w:t>
      </w:r>
      <w:r>
        <w:t xml:space="preserve"> </w:t>
      </w:r>
      <w:r>
        <w:t xml:space="preserve">labelled scenes (3</w:t>
      </w:r>
      <m:oMath>
        <m:r>
          <m:rPr>
            <m:sty m:val="p"/>
          </m:rPr>
          <m:t>×</m:t>
        </m:r>
      </m:oMath>
      <w:r>
        <w:t xml:space="preserve">2 grid). Diagonal omitted (trivially 0).</w:t>
      </w:r>
      <w:r>
        <w:t xml:space="preserve"> </w:t>
      </w:r>
      <w:r>
        <w:t xml:space="preserve">The matrices vary substantially across scenes: Salinas-A’s pairs</w:t>
      </w:r>
      <w:r>
        <w:t xml:space="preserve"> </w:t>
      </w:r>
      <w:r>
        <w:t xml:space="preserve">sit in</w:t>
      </w:r>
      <w:r>
        <w:t xml:space="preserve"> </w:t>
      </w:r>
      <m:oMath>
        <m:r>
          <m:rPr>
            <m:sty m:val="p"/>
          </m:rPr>
          <m:t>[</m:t>
        </m:r>
        <m:r>
          <m:t>0.35</m:t>
        </m:r>
        <m:r>
          <m:rPr>
            <m:sty m:val="p"/>
          </m:rPr>
          <m:t>,</m:t>
        </m:r>
        <m:r>
          <m:t>0.70</m:t>
        </m:r>
        <m:r>
          <m:rPr>
            <m:sty m:val="p"/>
          </m:rPr>
          <m:t>]</m:t>
        </m:r>
      </m:oMath>
      <w:r>
        <w:t xml:space="preserve">, indicating clearly distinct topic spectra;</w:t>
      </w:r>
      <w:r>
        <w:t xml:space="preserve"> </w:t>
      </w:r>
      <w:r>
        <w:t xml:space="preserve">Botswana’s pairs sit in</w:t>
      </w:r>
      <w:r>
        <w:t xml:space="preserve"> </w:t>
      </w:r>
      <m:oMath>
        <m:r>
          <m:rPr>
            <m:sty m:val="p"/>
          </m:rPr>
          <m:t>[</m:t>
        </m:r>
        <m:r>
          <m:t>0.10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]</m:t>
        </m:r>
      </m:oMath>
      <w:r>
        <w:t xml:space="preserve"> </w:t>
      </w:r>
      <w:r>
        <w:t xml:space="preserve">with several near-zero</w:t>
      </w:r>
      <w:r>
        <w:t xml:space="preserve"> </w:t>
      </w:r>
      <w:r>
        <w:t xml:space="preserve">entries, indicating redundant or weakly identified topics.</w:t>
      </w:r>
    </w:p>
    <w:bookmarkEnd w:id="27"/>
    <w:p>
      <w:pPr>
        <w:pStyle w:val="BodyText"/>
      </w:pPr>
      <w:r>
        <w:t xml:space="preserve">The pairwise-distance summary quantifies the visual contrast of</w:t>
      </w:r>
      <w:r>
        <w:t xml:space="preserve"> </w:t>
      </w:r>
      <w:r>
        <w:t xml:space="preserve">Section</w:t>
      </w:r>
      <w:r>
        <w:t xml:space="preserve"> </w:t>
      </w:r>
      <w:hyperlink w:anchor="sec:cards">
        <w:r>
          <w:rPr>
            <w:rStyle w:val="Hyperlink"/>
          </w:rPr>
          <w:t xml:space="preserve">2</w:t>
        </w:r>
      </w:hyperlink>
      <w:r>
        <w:t xml:space="preserve">: scenes with median pairwise cosine</w:t>
      </w:r>
      <w:r>
        <w:t xml:space="preserve"> </w:t>
      </w:r>
      <w:r>
        <w:t xml:space="preserve">distance above</w:t>
      </w:r>
      <w:r>
        <w:t xml:space="preserve"> </w:t>
      </w:r>
      <m:oMath>
        <m:r>
          <m:rPr>
            <m:sty m:val="p"/>
          </m:rPr>
          <m:t>∼</m:t>
        </m:r>
        <m:r>
          <m:t>0.4</m:t>
        </m:r>
      </m:oMath>
      <w:r>
        <w:t xml:space="preserve"> </w:t>
      </w:r>
      <w:r>
        <w:t xml:space="preserve">have the visually-distinct-spectra</w:t>
      </w:r>
      <w:r>
        <w:t xml:space="preserve"> </w:t>
      </w:r>
      <w:r>
        <w:t xml:space="preserve">property the framework’s interpretability story rests on; scenes</w:t>
      </w:r>
      <w:r>
        <w:t xml:space="preserve"> </w:t>
      </w:r>
      <w:r>
        <w:t xml:space="preserve">below that threshold are flagged as having weakly distinct topic</w:t>
      </w:r>
      <w:r>
        <w:t xml:space="preserve"> </w:t>
      </w:r>
      <w:r>
        <w:t xml:space="preserve">identities (which the band-mask diagnostic also flags by a</w:t>
      </w:r>
      <w:r>
        <w:t xml:space="preserve"> </w:t>
      </w:r>
      <w:r>
        <w:t xml:space="preserve">separate route).</w:t>
      </w:r>
    </w:p>
    <w:bookmarkEnd w:id="28"/>
    <w:bookmarkStart w:id="33" w:name="X9f1825f15c78ac3a7e82fc55a4e7c991bd240a0"/>
    <w:p>
      <w:pPr>
        <w:pStyle w:val="Heading1"/>
      </w:pPr>
      <w:r>
        <w:t xml:space="preserve">HIDSAG mineral topic-spectral fingerprints</w:t>
      </w:r>
    </w:p>
    <w:bookmarkStart w:id="32" w:name="fig:hidsag-spectra"/>
    <w:p>
      <w:pPr>
        <w:pStyle w:val="CaptionedFigure"/>
      </w:pPr>
      <w:r>
        <w:drawing>
          <wp:inline>
            <wp:extent cx="5334000" cy="570904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hidsag-topic-spectra.pd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9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Per-subset HIDSAG topic spectral fingerprints. Each</w:t>
      </w:r>
      <w:r>
        <w:t xml:space="preserve"> </w:t>
      </w:r>
      <w:r>
        <w:t xml:space="preserve">horizontal strip is a topic, with tick marks at the wavelengths of</w:t>
      </w:r>
      <w:r>
        <w:t xml:space="preserve"> </w:t>
      </w:r>
      <w:r>
        <w:t xml:space="preserve">its top-30 most relevant words. Eight diagnostic SWIR mineral</w:t>
      </w:r>
      <w:r>
        <w:t xml:space="preserve"> </w:t>
      </w:r>
      <w:r>
        <w:t xml:space="preserve">features annotated as dotted verticals.</w:t>
      </w:r>
    </w:p>
    <w:bookmarkEnd w:id="32"/>
    <w:p>
      <w:pPr>
        <w:pStyle w:val="BodyText"/>
      </w:pPr>
      <w:r>
        <w:t xml:space="preserve">HIDSAG’s band-mask summary artefacts do not ship the continuous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matrix (a build-time choice to minimise artefact footprint);</w:t>
      </w:r>
      <w:r>
        <w:t xml:space="preserve"> </w:t>
      </w:r>
      <w:r>
        <w:t xml:space="preserve">the discrete top-30-words-per-topic representation is sufficient</w:t>
      </w:r>
      <w:r>
        <w:t xml:space="preserve"> </w:t>
      </w:r>
      <w:r>
        <w:t xml:space="preserve">for the interpretability question. The cross-subset contrast is</w:t>
      </w:r>
      <w:r>
        <w:t xml:space="preserve"> </w:t>
      </w:r>
      <w:r>
        <w:t xml:space="preserve">informative on its own merits: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MINERAL2 topics cluster tightly around alunite</w:t>
      </w:r>
      <w:r>
        <w:rPr>
          <w:b/>
          <w:bCs/>
        </w:rPr>
        <w:t xml:space="preserve"> </w:t>
      </w:r>
      <w:r>
        <w:rPr>
          <w:b/>
          <w:bCs/>
        </w:rPr>
        <w:t xml:space="preserve">(2170 nm) and Al-OH (2200 nm)</w:t>
      </w:r>
      <w:r>
        <w:t xml:space="preserve">, consistent with the</w:t>
      </w:r>
      <w:r>
        <w:t xml:space="preserve"> </w:t>
      </w:r>
      <w:r>
        <w:t xml:space="preserve">high-sulfidation epithermal mineralogy this subset emphasises.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GEOMET topics spread broadly across the SWIR</w:t>
      </w:r>
      <w:r>
        <w:t xml:space="preserve">,</w:t>
      </w:r>
      <w:r>
        <w:t xml:space="preserve"> </w:t>
      </w:r>
      <w:r>
        <w:t xml:space="preserve">consistent with its 5 continuous geometallurgical regression</w:t>
      </w:r>
      <w:r>
        <w:t xml:space="preserve"> </w:t>
      </w:r>
      <w:r>
        <w:t xml:space="preserve">targets (Cu rec, Lime cons, Mo rec, pH, WI) rather than discrete</w:t>
      </w:r>
      <w:r>
        <w:t xml:space="preserve"> </w:t>
      </w:r>
      <w:r>
        <w:t xml:space="preserve">mineral classes.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PORPHYRY topics concentrate in 2200–2350 nm</w:t>
      </w:r>
      <w:r>
        <w:t xml:space="preserve"> </w:t>
      </w:r>
      <w:r>
        <w:t xml:space="preserve">(kaolinite, muscovite, calcite), consistent with porphyry-copper</w:t>
      </w:r>
      <w:r>
        <w:t xml:space="preserve"> </w:t>
      </w:r>
      <w:r>
        <w:t xml:space="preserve">alteration mineralogy.</w:t>
      </w:r>
    </w:p>
    <w:p>
      <w:pPr>
        <w:pStyle w:val="FirstParagraph"/>
      </w:pPr>
      <w:r>
        <w:t xml:space="preserve">Each per-topic stripe is a directly-inspectable summary of where in</w:t>
      </w:r>
      <w:r>
        <w:t xml:space="preserve"> </w:t>
      </w:r>
      <w:r>
        <w:t xml:space="preserve">the SWIR each topic finds its discriminative information.</w:t>
      </w:r>
    </w:p>
    <w:bookmarkEnd w:id="33"/>
    <w:bookmarkStart w:id="34" w:name="Xc7bbd68be4863f64933be977078eeef9b43ae6f"/>
    <w:p>
      <w:pPr>
        <w:pStyle w:val="Heading1"/>
      </w:pPr>
      <w:r>
        <w:t xml:space="preserve">Relationship to other axes of the framework</w:t>
      </w:r>
    </w:p>
    <w:p>
      <w:pPr>
        <w:pStyle w:val="FirstParagraph"/>
      </w:pPr>
      <w:r>
        <w:t xml:space="preserve">The four figures in this supplement are best read jointly with:</w:t>
      </w:r>
    </w:p>
    <w:p>
      <w:pPr>
        <w:numPr>
          <w:ilvl w:val="0"/>
          <w:numId w:val="1002"/>
        </w:numPr>
      </w:pPr>
      <w:r>
        <w:t xml:space="preserve">Axis F-2 (topic-word coherence) in the main paper Section IV</w:t>
      </w:r>
      <w:r>
        <w:t xml:space="preserve"> </w:t>
      </w:r>
      <w:r>
        <w:t xml:space="preserve">and Suppl D: high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should correlate with high pairwise cosine</w:t>
      </w:r>
      <w:r>
        <w:t xml:space="preserve"> </w:t>
      </w:r>
      <w:r>
        <w:t xml:space="preserve">distance between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rows, since coherent topics tend to be</w:t>
      </w:r>
      <w:r>
        <w:t xml:space="preserve"> </w:t>
      </w:r>
      <w:r>
        <w:t xml:space="preserve">distinct topics.</w:t>
      </w:r>
    </w:p>
    <w:p>
      <w:pPr>
        <w:numPr>
          <w:ilvl w:val="0"/>
          <w:numId w:val="1002"/>
        </w:numPr>
      </w:pPr>
      <w:r>
        <w:t xml:space="preserve">Axis F-5 (band-mask robustness): the contrast figure makes</w:t>
      </w:r>
      <w:r>
        <w:t xml:space="preserve"> </w:t>
      </w:r>
      <w:r>
        <w:t xml:space="preserve">the band-robust / band-fragile split visible at the spectrum level</w:t>
      </w:r>
      <w:r>
        <w:t xml:space="preserve"> </w:t>
      </w:r>
      <w:r>
        <w:t xml:space="preserve">that the paired-ARI summary alone does not.</w:t>
      </w:r>
    </w:p>
    <w:p>
      <w:pPr>
        <w:numPr>
          <w:ilvl w:val="0"/>
          <w:numId w:val="1002"/>
        </w:numPr>
      </w:pPr>
      <w:r>
        <w:t xml:space="preserve">Axis F-7 (topic–label coupling): the per-topic-card title</w:t>
      </w:r>
      <w:r>
        <w:t xml:space="preserve"> </w:t>
      </w:r>
      <w:r>
        <w:t xml:space="preserve">shows the dominant label and per-topic KL summary; high KL topics</w:t>
      </w:r>
      <w:r>
        <w:t xml:space="preserve"> </w:t>
      </w:r>
      <w:r>
        <w:t xml:space="preserve">should have distinctively shaped</w:t>
      </w:r>
      <w:r>
        <w:t xml:space="preserve"> </w:t>
      </w:r>
      <m:oMath>
        <m:r>
          <m:t>ϕ</m:t>
        </m:r>
      </m:oMath>
      <w:r>
        <w:t xml:space="preserve">.</w:t>
      </w:r>
    </w:p>
    <w:bookmarkEnd w:id="34"/>
    <w:bookmarkStart w:id="35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All four figures are generated by deterministic Python builders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figures/source/</w:t>
      </w:r>
      <w:r>
        <w:t xml:space="preserve">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build_topic_profile_cards.py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build_topic_spectra_contrast.py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build_topic_pairwise_distance.py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build_hidsag_topic_spectra.py</w:t>
      </w:r>
    </w:p>
    <w:p>
      <w:pPr>
        <w:pStyle w:val="FirstParagraph"/>
      </w:pPr>
      <w:r>
        <w:t xml:space="preserve">Each reads only from</w:t>
      </w:r>
      <w:r>
        <w:t xml:space="preserve"> </w:t>
      </w:r>
      <w:r>
        <w:rPr>
          <w:rStyle w:val="VerbatimChar"/>
        </w:rPr>
        <w:t xml:space="preserve">CAOS_LDA_HSI/data/derived/</w:t>
      </w:r>
      <w:r>
        <w:t xml:space="preserve"> </w:t>
      </w:r>
      <w:r>
        <w:t xml:space="preserve">JSON</w:t>
      </w:r>
      <w:r>
        <w:t xml:space="preserve"> </w:t>
      </w:r>
      <w:r>
        <w:t xml:space="preserve">artefacts; no random number generator, no clock-dependent state.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df" /><Relationship Type="http://schemas.openxmlformats.org/officeDocument/2006/relationships/image" Id="rId24" Target="media/rId24.pdf" /><Relationship Type="http://schemas.openxmlformats.org/officeDocument/2006/relationships/image" Id="rId14" Target="media/rId14.pdf" /><Relationship Type="http://schemas.openxmlformats.org/officeDocument/2006/relationships/image" Id="rId10" Target="media/rId10.pdf" /><Relationship Type="http://schemas.openxmlformats.org/officeDocument/2006/relationships/image" Id="rId19" Target="media/rId19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H — Topic spectra: do different topics have different basis spectra? Companion to: Beyond Accuracy (cross-section visual annex)</dc:title>
  <dc:creator>Felipe Santibáñez-Leal</dc:creator>
  <cp:keywords/>
  <dcterms:created xsi:type="dcterms:W3CDTF">2026-05-15T12:27:17Z</dcterms:created>
  <dcterms:modified xsi:type="dcterms:W3CDTF">2026-05-15T12:27:17Z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