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df" ContentType="application/pdf"/>
  <Override PartName="/word/media/rId25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Post-hoc Interpretability of LDA on Hyperspectral Imagery:</w:t>
      </w:r>
      <w:r>
        <w:t xml:space="preserve"> </w:t>
      </w:r>
      <w:r>
        <w:t xml:space="preserve">SHAP Attributions, Counterfactual Topic Flips, and LLM-judge</w:t>
      </w:r>
      <w:r>
        <w:t xml:space="preserve"> </w:t>
      </w:r>
      <w:r>
        <w:t xml:space="preserve">Alignment under Token-Mass-Dispersion Asymmetry</w:t>
      </w:r>
    </w:p>
    <w:p>
      <w:pPr>
        <w:pStyle w:val="Author"/>
      </w:pPr>
      <w:r>
        <w:t xml:space="preserve">Felipe Santibáñez-Leal, 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rPr>
          <w:rStyle w:val="FootnoteReference"/>
        </w:rPr>
        <w:footnoteReference w:id="10"/>
      </w:r>
      <w:r>
        <w:t xml:space="preserve"> </w:t>
      </w:r>
      <w:r>
        <w:rPr>
          <w:rStyle w:val="FootnoteReference"/>
        </w:rPr>
        <w:footnoteReference w:id="12"/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D</m:t>
          </m:r>
          <m:r>
            <m:rPr>
              <m:sty m:val="p"/>
            </m:rPr>
            <m:t>i</m:t>
          </m:r>
          <m:r>
            <m:rPr>
              <m:sty m:val="p"/>
            </m:rPr>
            <m:t>r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θ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D</m:t>
          </m:r>
          <m:r>
            <m:rPr>
              <m:sty m:val="p"/>
            </m:rPr>
            <m:t>i</m:t>
          </m:r>
          <m:r>
            <m:rPr>
              <m:sty m:val="p"/>
            </m:rPr>
            <m:t>r</m:t>
          </m:r>
          <m:r>
            <m:rPr>
              <m:sty m:val="p"/>
            </m:rPr>
            <m:t>(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z</m:t>
              </m:r>
            </m:e>
            <m:sub>
              <m:r>
                <m:t>d</m:t>
              </m:r>
              <m:r>
                <m:t>n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w</m:t>
              </m:r>
            </m:e>
            <m:sub>
              <m:r>
                <m:t>d</m:t>
              </m:r>
              <m:r>
                <m:t>n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(</m:t>
          </m:r>
          <m:sSub>
            <m:e>
              <m:r>
                <m:t>ϕ</m:t>
              </m:r>
            </m:e>
            <m:sub>
              <m:sSub>
                <m:e>
                  <m:r>
                    <m:t>z</m:t>
                  </m:r>
                </m:e>
                <m:sub>
                  <m:r>
                    <m:t>d</m:t>
                  </m:r>
                  <m:r>
                    <m:t>n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β</m:t>
          </m:r>
          <m:r>
            <m:rPr>
              <m:sty m:val="p"/>
            </m:rPr>
            <m:t>∼</m:t>
          </m:r>
          <m:r>
            <m:rPr>
              <m:sty m:val="p"/>
            </m:rPr>
            <m:t>G</m:t>
          </m:r>
          <m:r>
            <m:rPr>
              <m:sty m:val="p"/>
            </m:rPr>
            <m:t>E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γ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π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D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i"/>
            </m:rP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z</m:t>
              </m:r>
            </m:e>
            <m:sub>
              <m:r>
                <m:t>d</m:t>
              </m:r>
              <m:r>
                <m:t>n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w</m:t>
              </m:r>
            </m:e>
            <m:sub>
              <m:r>
                <m:t>d</m:t>
              </m:r>
              <m:r>
                <m:t>n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(</m:t>
          </m:r>
          <m:sSub>
            <m:e>
              <m:r>
                <m:t>ϕ</m:t>
              </m:r>
            </m:e>
            <m:sub>
              <m:sSub>
                <m:e>
                  <m:r>
                    <m:t>z</m:t>
                  </m:r>
                </m:e>
                <m:sub>
                  <m:r>
                    <m:t>d</m:t>
                  </m:r>
                  <m:r>
                    <m:t>n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global atom weights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′</m:t>
            </m:r>
          </m:sup>
        </m:sSubSup>
        <m:nary>
          <m:naryPr>
            <m:chr m:val="∏"/>
            <m:limLoc m:val="undOvr"/>
            <m:subHide m:val="off"/>
            <m:supHide m:val="on"/>
          </m:naryPr>
          <m:sub>
            <m:r>
              <m:t>l</m:t>
            </m:r>
            <m:r>
              <m:rPr>
                <m:sty m:val="p"/>
              </m:rPr>
              <m:t>&lt;</m:t>
            </m:r>
            <m:r>
              <m:t>k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l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Sup>
          <m:e>
            <m:r>
              <m:t>β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t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γ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Σ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θ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t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x</m:t>
          </m:r>
          <m:r>
            <m:rPr>
              <m:sty m:val="p"/>
            </m:rPr>
            <m:t>(</m:t>
          </m:r>
          <m:sSub>
            <m:e>
              <m:r>
                <m:t>δ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w</m:t>
              </m:r>
            </m:e>
            <m:sub>
              <m:r>
                <m:t>d</m:t>
              </m:r>
              <m:r>
                <m:t>n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β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β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rPr>
                <m:sty m:val="p"/>
              </m:rPr>
              <m:t>|</m:t>
            </m:r>
            <m:r>
              <m:t>V</m:t>
            </m:r>
            <m:r>
              <m:rPr>
                <m:sty m:val="p"/>
              </m:rPr>
              <m:t>|</m:t>
            </m:r>
            <m:r>
              <m:rPr>
                <m:sty m:val="p"/>
              </m:rPr>
              <m:t>×</m:t>
            </m:r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unnormalised</w:t>
      </w:r>
      <w:r>
        <w:t xml:space="preserve"> </w:t>
      </w:r>
      <w:r>
        <w:t xml:space="preserve">(the word distribution is a product of experts, not a per-topic</w:t>
      </w:r>
      <w:r>
        <w:t xml:space="preserve"> </w:t>
      </w:r>
      <w:r>
        <w:t xml:space="preserve">simplex), 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Σ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Laplace approximation to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; inference is amortised,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Σ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</m:e>
          <m:sub>
            <m:r>
              <m:t>η</m:t>
            </m:r>
          </m:sub>
        </m:sSub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t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ρ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t>α</m:t>
                  </m:r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t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x</m:t>
          </m:r>
          <m:r>
            <m:rPr>
              <m:sty m:val="p"/>
            </m:rPr>
            <m:t>(</m:t>
          </m:r>
          <m:sSub>
            <m:e>
              <m:r>
                <m:t>δ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w</m:t>
              </m:r>
            </m:e>
            <m:sub>
              <m:r>
                <m:t>d</m:t>
              </m:r>
              <m:r>
                <m:t>n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d</m:t>
                      </m:r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word embeddings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|</m:t>
            </m:r>
            <m:r>
              <m:t>V</m:t>
            </m:r>
            <m:r>
              <m:rPr>
                <m:sty m:val="p"/>
              </m:rPr>
              <m:t>|</m:t>
            </m:r>
          </m:sup>
        </m:sSup>
      </m:oMath>
      <w:r>
        <w:t xml:space="preserve"> </w:t>
      </w:r>
      <w:r>
        <w:t xml:space="preserve">and topic</w:t>
      </w:r>
      <w:r>
        <w:t xml:space="preserve"> </w:t>
      </w:r>
      <w:r>
        <w:t xml:space="preserve">embeddings</w:t>
      </w:r>
      <w:r>
        <w:t xml:space="preserve"> </w:t>
      </w:r>
      <m:oMath>
        <m:sSub>
          <m:e>
            <m:r>
              <m:t>α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. (This is the single canonical</w:t>
      </w:r>
      <w:r>
        <w:t xml:space="preserve"> </w:t>
      </w:r>
      <w:r>
        <w:t xml:space="preserve">ETM decoder; earlier drafts wrote it three inconsistent ways.)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d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d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sSub>
                <m:e>
                  <m:r>
                    <m:t>x</m:t>
                  </m:r>
                </m:e>
                <m:sub>
                  <m:r>
                    <m:t>d</m:t>
                  </m:r>
                  <m:r>
                    <m:t>b</m:t>
                  </m:r>
                </m:sub>
              </m:sSub>
            </m:num>
            <m:den>
              <m:limLow>
                <m:e>
                  <m:r>
                    <m:rPr>
                      <m:sty m:val="p"/>
                    </m:rPr>
                    <m:t>max</m:t>
                  </m:r>
                </m:e>
                <m:lim>
                  <m:r>
                    <m:t>b</m:t>
                  </m:r>
                </m:lim>
              </m:limLow>
              <m:sSub>
                <m:e>
                  <m:r>
                    <m:t>x</m:t>
                  </m:r>
                </m:e>
                <m:sub>
                  <m:r>
                    <m:t>d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sSub>
                <m:e>
                  <m:r>
                    <m:t>x</m:t>
                  </m:r>
                </m:e>
                <m:sub>
                  <m:r>
                    <m:t>d</m:t>
                  </m:r>
                  <m:r>
                    <m:t>b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⌊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d</m:t>
                  </m:r>
                  <m:r>
                    <m:t>b</m:t>
                  </m:r>
                </m:sub>
              </m:sSub>
              <m:r>
                <m:t> </m:t>
              </m:r>
              <m:r>
                <m:t>Q</m:t>
              </m:r>
              <m:r>
                <m:rPr>
                  <m:sty m:val="p"/>
                </m:rPr>
                <m:t>⌋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n</m:t>
              </m:r>
            </m:e>
            <m:sub>
              <m:r>
                <m:t>d</m:t>
              </m:r>
            </m:sub>
            <m:sup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1</m:t>
              </m:r>
            </m:sup>
          </m:sSubSup>
          <m:r>
            <m:rPr>
              <m:sty m:val="p"/>
            </m:rPr>
            <m:t>[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n</m:t>
              </m:r>
            </m:e>
            <m:sub>
              <m:r>
                <m:t>d</m:t>
              </m:r>
            </m:sub>
            <m:sup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3</m:t>
              </m:r>
            </m:sup>
          </m:sSub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t>B</m:t>
          </m:r>
          <m:r>
            <m:t> 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</m:lim>
          </m:limLow>
          <m:r>
            <m:t> </m:t>
          </m:r>
          <m:sSubSup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 </m:t>
                  </m:r>
                  <m:r>
                    <m:t>a</m:t>
                  </m:r>
                </m:e>
              </m:d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Sup>
            <m:e>
              <m:r>
                <m:t>n</m:t>
              </m:r>
            </m:e>
            <m:sub>
              <m:r>
                <m:t>d</m:t>
              </m:r>
            </m:sub>
            <m:sup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8</m:t>
              </m:r>
            </m:sup>
          </m:sSubSup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⌊"/>
              <m:sepChr m:val=""/>
              <m:endChr m:val="⌉"/>
              <m:grow/>
            </m:dPr>
            <m:e>
              <m:r>
                <m:t>s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d</m:t>
                  </m:r>
                  <m:r>
                    <m:t>m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M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are the NFINDR endmembers (simplex vertices)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 fixed integer scale;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d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Σ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μ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Σ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t>n</m:t>
              </m:r>
            </m:e>
            <m:sub>
              <m:r>
                <m:t>d</m:t>
              </m:r>
            </m:sub>
            <m:sup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12</m:t>
              </m:r>
            </m:sup>
          </m:sSub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b</m:t>
                  </m:r>
                </m:sub>
              </m:sSub>
              <m:r>
                <m:t>​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d>
            <m:dPr>
              <m:begChr m:val="⌊"/>
              <m:sepChr m:val=""/>
              <m:endChr m:val="⌉"/>
              <m:grow/>
            </m:dPr>
            <m:e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max</m:t>
                      </m:r>
                    </m:e>
                    <m:li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lim>
                  </m:limLow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 </m:t>
              </m:r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Sup>
            <m:e>
              <m:r>
                <m:t>n</m:t>
              </m:r>
            </m:e>
            <m:sub>
              <m:r>
                <m:t>d</m:t>
              </m:r>
            </m:sub>
            <m:sup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20</m:t>
              </m:r>
            </m:sup>
          </m:sSub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b</m:t>
              </m:r>
            </m:sub>
          </m:sSub>
          <m:r>
            <m:t> </m:t>
          </m:r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token alphabet is V3’s,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20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B</m:t>
        </m:r>
        <m:r>
          <m:t> </m:t>
        </m:r>
        <m:r>
          <m:t>Q</m:t>
        </m:r>
      </m:oMath>
      <w:r>
        <w:t xml:space="preserve"> </w:t>
      </w:r>
      <w:r>
        <w:t xml:space="preserve">(=1600 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200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=</m:t>
        </m:r>
        <m:r>
          <m:t>8</m:t>
        </m:r>
      </m:oMath>
      <w:r>
        <w:t xml:space="preserve">; mean</w:t>
      </w:r>
      <w:r>
        <w:t xml:space="preserve"> </w:t>
      </w:r>
      <m:oMath>
        <m:r>
          <m:rPr>
            <m:sty m:val="p"/>
          </m:rPr>
          <m:t>≈</m:t>
        </m:r>
        <m:r>
          <m:t>1376</m:t>
        </m:r>
      </m:oMath>
      <w:r>
        <w:t xml:space="preserve"> </w:t>
      </w:r>
      <w:r>
        <w:t xml:space="preserve">across the six labelled scenes since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varies). Bands with</w:t>
      </w:r>
      <w:r>
        <w:t xml:space="preserve"> </w:t>
      </w:r>
      <m:oMath>
        <m:sSub>
          <m:e>
            <m:r>
              <m:t>w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emit nothing, so the</w:t>
      </w:r>
      <w:r>
        <w:t xml:space="preserve"> </w:t>
      </w:r>
      <w:r>
        <w:rPr>
          <w:i/>
          <w:iCs/>
        </w:rPr>
        <w:t xml:space="preserve">effective</w:t>
      </w:r>
      <w:r>
        <w:t xml:space="preserve"> </w:t>
      </w:r>
      <w:r>
        <w:t xml:space="preserve">(non-empty-column) vocabulary is smaller still (</w:t>
      </w:r>
      <m:oMath>
        <m:r>
          <m:rPr>
            <m:sty m:val="p"/>
          </m:rPr>
          <m:t>≈</m:t>
        </m:r>
        <m:r>
          <m:t>770</m:t>
        </m:r>
      </m:oMath>
      <w:r>
        <w:t xml:space="preserve"> </w:t>
      </w:r>
      <w:r>
        <w:t xml:space="preserve">mean).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nor/>
              <m:sty m:val="p"/>
            </m:rPr>
            <m:t>-</m:t>
          </m:r>
          <m:r>
            <m:rPr>
              <m:sty m:val="p"/>
            </m:rPr>
            <m:t>1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r>
                    <m:t>2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num>
            <m:den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e>
              </m: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ℓ</m:t>
            </m:r>
          </m:sub>
        </m:sSub>
        <m:r>
          <m:rPr>
            <m:sty m:val="p"/>
          </m:rPr>
          <m:t>)</m:t>
        </m:r>
        <m:sSubSup>
          <m:e>
            <m:r>
              <m:rPr>
                <m:sty m:val="p"/>
              </m:rPr>
              <m:t>)</m:t>
            </m:r>
          </m:e>
          <m:sub>
            <m:r>
              <m:t>ℓ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over the</w:t>
      </w:r>
      <w:r>
        <w:t xml:space="preserve"> </w:t>
      </w:r>
      <w:r>
        <w:t xml:space="preserve">top-</w:t>
      </w:r>
      <m:oMath>
        <m:r>
          <m:t>N</m:t>
        </m:r>
      </m:oMath>
      <w:r>
        <w:t xml:space="preserve"> </w:t>
      </w:r>
      <w:r>
        <w:t xml:space="preserve">topic words.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</m:lim>
          </m:limLow>
          <m:sSub>
            <m:e>
              <m:r>
                <m:t>θ</m:t>
              </m:r>
            </m:e>
            <m:sub>
              <m:r>
                <m:t>d</m:t>
              </m:r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F</m:t>
          </m:r>
          <m:r>
            <m:rPr>
              <m:nor/>
              <m:sty m:val="p"/>
            </m:rPr>
            <m:t>-</m:t>
          </m:r>
          <m:r>
            <m:rPr>
              <m:sty m:val="p"/>
            </m:rPr>
            <m:t>7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nor/>
              <m:sty m:val="p"/>
            </m:rPr>
            <m:t>-</m:t>
          </m:r>
          <m:r>
            <m:rPr>
              <m:sty m:val="p"/>
            </m:rPr>
            <m:t>14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|</m:t>
                  </m:r>
                </m:num>
                <m:den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|</m:t>
                  </m:r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top-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t>ϕ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nor/>
              <m:sty m:val="p"/>
            </m:rPr>
            <m:t>-</m:t>
          </m:r>
          <m:r>
            <m:rPr>
              <m:sty m:val="p"/>
            </m:rPr>
            <m:t>18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S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s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  <m:limLow>
            <m:e>
              <m:r>
                <m:rPr>
                  <m:sty m:val="p"/>
                </m:rPr>
                <m:t>max</m:t>
              </m:r>
            </m:e>
            <m:lim>
              <m:r>
                <m:t>σ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fraktur"/>
                      <m:sty m:val="p"/>
                    </m:rPr>
                    <m:t>S</m:t>
                  </m:r>
                </m:e>
                <m:sub>
                  <m:r>
                    <m:t>K</m:t>
                  </m:r>
                </m:sub>
              </m:sSub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over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reseeded refits, with</w:t>
      </w:r>
      <w:r>
        <w:t xml:space="preserve"> </w:t>
      </w:r>
      <m:oMath>
        <m:sSubSup>
          <m:e>
            <m:r>
              <m:rPr>
                <m:sty m:val="bi"/>
              </m:rPr>
              <m:t>u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the top-</w:t>
      </w:r>
      <m:oMath>
        <m:r>
          <m:t>N</m:t>
        </m:r>
      </m:oMath>
      <w:r>
        <w:t xml:space="preserve"> </w:t>
      </w:r>
      <w:r>
        <w:t xml:space="preserve">indicator</w:t>
      </w:r>
      <w:r>
        <w:t xml:space="preserve"> </w:t>
      </w:r>
      <w:r>
        <w:t xml:space="preserve">vector of topic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run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nor/>
              <m:sty m:val="p"/>
            </m:rPr>
            <m:t>-</m:t>
          </m:r>
          <m:r>
            <m:rPr>
              <m:sty m:val="p"/>
            </m:rPr>
            <m:t>22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δ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|</m:t>
                  </m:r>
                  <m:r>
                    <m:t>V</m:t>
                  </m:r>
                  <m:r>
                    <m:rPr>
                      <m:sty m:val="p"/>
                    </m:rPr>
                    <m:t>|</m:t>
                  </m:r>
                </m:sup>
              </m:sSup>
            </m:lim>
          </m:limLow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r>
                    <m:t>δ</m:t>
                  </m:r>
                </m:e>
              </m:d>
            </m:e>
            <m:sub>
              <m:r>
                <m:t>1</m:t>
              </m:r>
            </m:sub>
          </m:sSub>
          <m:r>
            <m:t> </m:t>
          </m:r>
          <m:r>
            <m:t> </m:t>
          </m:r>
          <m:r>
            <m:rPr>
              <m:nor/>
              <m:sty m:val="p"/>
            </m:rPr>
            <m:t>s.t.</m:t>
          </m:r>
          <m:r>
            <m:t> </m:t>
          </m:r>
          <m:r>
            <m:t> 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</m:lim>
          </m:limLow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≠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</m:lim>
          </m:limLow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 </m:t>
          </m:r>
          <m:r>
            <m:t> </m:t>
          </m:r>
          <m:sSub>
            <m:e>
              <m:r>
                <m:t>n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reported as the per-scene median, capped at a sentinel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_</m:t>
        </m:r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P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when no flip is found.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g</m:t>
          </m:r>
          <m:r>
            <m:rPr>
              <m:sty m:val="p"/>
            </m:rPr>
            <m:t>n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r>
                <m:rPr>
                  <m:sty m:val="p"/>
                </m:rPr>
                <m:t>|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∩</m:t>
              </m:r>
              <m:sSub>
                <m:e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ϕ</m:t>
                  </m:r>
                </m:e>
                <m: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d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≥</m:t>
              </m:r>
              <m:r>
                <m:t>τ</m:t>
              </m:r>
              <m:r>
                <m:t> </m:t>
              </m:r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F</m:t>
          </m:r>
          <m:r>
            <m:rPr>
              <m:nor/>
              <m:sty m:val="p"/>
            </m:rPr>
            <m:t>-</m:t>
          </m:r>
          <m:r>
            <m:rPr>
              <m:sty m:val="p"/>
            </m:rPr>
            <m:t>15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D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</m:e>
          </m:nary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d</m:t>
                  </m:r>
                  <m:r>
                    <m:t>v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d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v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d</m:t>
                      </m:r>
                      <m:r>
                        <m:t>v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v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Low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(mass concentrated on few tokens) keeps top-</w:t>
      </w:r>
      <m:oMath>
        <m:r>
          <m:t>N</m:t>
        </m:r>
      </m:oMath>
      <w:r>
        <w:t xml:space="preserve"> </w:t>
      </w:r>
      <w:r>
        <w:t xml:space="preserve">overlap high; this — not nominal</w:t>
      </w:r>
      <w:r>
        <w:t xml:space="preserve"> </w:t>
      </w:r>
      <m:oMath>
        <m:r>
          <m:rPr>
            <m:sty m:val="p"/>
          </m:rPr>
          <m:t>|</m:t>
        </m:r>
        <m:r>
          <m:t>V</m:t>
        </m:r>
        <m:r>
          <m:rPr>
            <m:sty m:val="p"/>
          </m:rPr>
          <m:t>|</m:t>
        </m:r>
      </m:oMath>
      <w:r>
        <w:t xml:space="preserve"> </w:t>
      </w:r>
      <w:r>
        <w:t xml:space="preserve">— is what drives F-15.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B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v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</m:lim>
                  </m:limLow>
                  <m:sSubSup>
                    <m:e>
                      <m:r>
                        <m:t>c</m:t>
                      </m:r>
                    </m:e>
                    <m:sub>
                      <m:r>
                        <m:t>v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max</m:t>
                      </m:r>
                    </m:e>
                    <m:lim>
                      <m:r>
                        <m:t>j</m:t>
                      </m:r>
                    </m:lim>
                  </m:limLow>
                  <m:sSubSup>
                    <m:e>
                      <m:r>
                        <m:t>c</m:t>
                      </m:r>
                    </m:e>
                    <m:sub>
                      <m:r>
                        <m:t>v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</m:lim>
                  </m:limLow>
                  <m:sSubSup>
                    <m:e>
                      <m:r>
                        <m:t>c</m:t>
                      </m:r>
                    </m:e>
                    <m:sub>
                      <m:r>
                        <m:t>v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nary>
          <m:r>
            <m:t> 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averaged over backbones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L</m:t>
        </m:r>
        <m:r>
          <m:rPr>
            <m:sty m:val="p"/>
          </m:rPr>
          <m:t>D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rPr>
            <m:sty m:val="p"/>
          </m:rPr>
          <m:t>H</m:t>
        </m: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d</m:t>
        </m:r>
        <m:r>
          <m:rPr>
            <m:sty m:val="p"/>
          </m:rPr>
          <m:t>L</m:t>
        </m:r>
        <m:r>
          <m:rPr>
            <m:sty m:val="p"/>
          </m:rPr>
          <m:t>D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m:oMath>
        <m:r>
          <m:rPr>
            <m:scr m:val="script"/>
            <m:sty m:val="p"/>
          </m:rPr>
          <m:t>A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when a recipe sits near the per-backbone top everywhere.</w:t>
      </w:r>
    </w:p>
    <w:bookmarkStart w:id="14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The companion paper (P3) ranks the full V1–V20 wordification sweep</w:t>
      </w:r>
      <w:r>
        <w:t xml:space="preserve"> </w:t>
      </w:r>
      <w:r>
        <w:t xml:space="preserve">(nineteen recipes; V16 is scaffolded only) on classification,</w:t>
      </w:r>
      <w:r>
        <w:t xml:space="preserve"> </w:t>
      </w:r>
      <w:r>
        <w:t xml:space="preserve">coherence and label-coupling axes, and the backbone-factorial paper</w:t>
      </w:r>
      <w:r>
        <w:t xml:space="preserve"> </w:t>
      </w:r>
      <w:r>
        <w:t xml:space="preserve">(P4) repeats the headline axes across four topic-model backbones. The</w:t>
      </w:r>
      <w:r>
        <w:t xml:space="preserve"> </w:t>
      </w:r>
      <w:r>
        <w:t xml:space="preserve">“interpretability”</w:t>
      </w:r>
      <w:r>
        <w:t xml:space="preserve"> </w:t>
      </w:r>
      <w:r>
        <w:t xml:space="preserve">claim of LDA-on-HSI — that topic–word</w:t>
      </w:r>
      <w:r>
        <w:t xml:space="preserve"> </w:t>
      </w:r>
      <w:r>
        <w:t xml:space="preserve">distributions reveal physical structure — is implicit in those</w:t>
      </w:r>
      <w:r>
        <w:t xml:space="preserve"> </w:t>
      </w:r>
      <w:r>
        <w:t xml:space="preserve">axes but not directly tested by them.</w:t>
      </w:r>
      <w:r>
        <w:t xml:space="preserve"> </w:t>
      </w:r>
      <w:r>
        <w:rPr>
          <w:i/>
          <w:iCs/>
        </w:rPr>
        <w:t xml:space="preserve">Throughout this paper we</w:t>
      </w:r>
      <w:r>
        <w:rPr>
          <w:i/>
          <w:iCs/>
        </w:rPr>
        <w:t xml:space="preserve"> </w:t>
      </w:r>
      <w:r>
        <w:rPr>
          <w:i/>
          <w:iCs/>
        </w:rPr>
        <w:t xml:space="preserve">fix the backbone to LDA</w:t>
      </w:r>
      <w:r>
        <w:t xml:space="preserve"> </w:t>
      </w:r>
      <w:r>
        <w:t xml:space="preserve">(</w:t>
      </w:r>
      <w:hyperlink w:anchor="eq:lda-gen">
        <w:r>
          <w:rPr>
            <w:rStyle w:val="Hyperlink"/>
          </w:rPr>
          <w:t xml:space="preserve">[eq:lda-gen]</w:t>
        </w:r>
      </w:hyperlink>
      <w:r>
        <w:t xml:space="preserve">); the cross-backbone</w:t>
      </w:r>
      <w:r>
        <w:t xml:space="preserve"> </w:t>
      </w:r>
      <w:r>
        <w:t xml:space="preserve">behaviour of these interpretability axes is out of scope and left to</w:t>
      </w:r>
      <w:r>
        <w:t xml:space="preserve"> </w:t>
      </w:r>
      <w:r>
        <w:t xml:space="preserve">P4. Three post-hoc interpretability tools have been proposed in the</w:t>
      </w:r>
      <w:r>
        <w:t xml:space="preserve"> </w:t>
      </w:r>
      <w:r>
        <w:t xml:space="preserve">broader topic-modelling and explainable-ML literature that go beyond</w:t>
      </w:r>
      <w:r>
        <w:t xml:space="preserve"> </w:t>
      </w:r>
      <w:r>
        <w:t xml:space="preserve">“read the top-</w:t>
      </w:r>
      <m:oMath>
        <m:r>
          <m:t>N</m:t>
        </m:r>
      </m:oMath>
      <w:r>
        <w:t xml:space="preserve"> </w:t>
      </w:r>
      <w:r>
        <w:t xml:space="preserve">words and trust them”</w:t>
      </w:r>
      <w:r>
        <w:t xml:space="preserve">: SHAP attribution</w:t>
      </w:r>
      <w:r>
        <w:t xml:space="preserve"> </w:t>
      </w:r>
      <w:r>
        <w:t xml:space="preserve">(Lundberg and Lee 2017)</w:t>
      </w:r>
      <w:r>
        <w:t xml:space="preserve">, counterfactual explanations</w:t>
      </w:r>
      <w:r>
        <w:t xml:space="preserve"> </w:t>
      </w:r>
      <w:r>
        <w:t xml:space="preserve">(Wachter et al. 2017)</w:t>
      </w:r>
      <w:r>
        <w:t xml:space="preserve">, and LLM-as-judge alignment</w:t>
      </w:r>
      <w:r>
        <w:t xml:space="preserve"> </w:t>
      </w:r>
      <w:r>
        <w:t xml:space="preserve">(Stammbach et al. 2023;</w:t>
      </w:r>
      <w:r>
        <w:t xml:space="preserve"> </w:t>
      </w:r>
      <w:r>
        <w:t xml:space="preserve">Yang and collaborators</w:t>
      </w:r>
      <w:r>
        <w:t xml:space="preserve"> </w:t>
      </w:r>
      <w:r>
        <w:t xml:space="preserve">2025)</w:t>
      </w:r>
      <w:r>
        <w:t xml:space="preserve">. We instantiate all</w:t>
      </w:r>
      <w:r>
        <w:t xml:space="preserve"> </w:t>
      </w:r>
      <w:r>
        <w:t xml:space="preserve">three on the V-sweep under the LDA backbone and report findings.</w:t>
      </w:r>
    </w:p>
    <w:p>
      <w:pPr>
        <w:pStyle w:val="BodyText"/>
      </w:pPr>
      <w:r>
        <w:t xml:space="preserve">The three axes correspond to three canonical metrics in the shared</w:t>
      </w:r>
      <w:r>
        <w:t xml:space="preserve"> </w:t>
      </w:r>
      <w:r>
        <w:t xml:space="preserve">equation set: F-13 to the SHAP attribution applied to the closed-form</w:t>
      </w:r>
      <w:r>
        <w:t xml:space="preserve"> </w:t>
      </w:r>
      <w:r>
        <w:t xml:space="preserve">LDA posterior, F-22 to the minimum-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counterfactual</w:t>
      </w:r>
      <w:r>
        <w:t xml:space="preserve"> </w:t>
      </w:r>
      <w:r>
        <w:t xml:space="preserve">(</w:t>
      </w:r>
      <w:hyperlink w:anchor="eq:f22">
        <w:r>
          <w:rPr>
            <w:rStyle w:val="Hyperlink"/>
          </w:rPr>
          <w:t xml:space="preserve">[eq:f22]</w:t>
        </w:r>
      </w:hyperlink>
      <w:r>
        <w:t xml:space="preserve">), and F-15 to the top-</w:t>
      </w:r>
      <m:oMath>
        <m:r>
          <m:t>N</m:t>
        </m:r>
      </m:oMath>
      <w:r>
        <w:t xml:space="preserve"> </w:t>
      </w:r>
      <w:r>
        <w:t xml:space="preserve">overlap rule</w:t>
      </w:r>
      <w:r>
        <w:t xml:space="preserve"> </w:t>
      </w:r>
      <w:r>
        <w:t xml:space="preserve">(</w:t>
      </w:r>
      <w:hyperlink w:anchor="eq:f15">
        <w:r>
          <w:rPr>
            <w:rStyle w:val="Hyperlink"/>
          </w:rPr>
          <w:t xml:space="preserve">[eq:f15]</w:t>
        </w:r>
      </w:hyperlink>
      <w:r>
        <w:t xml:space="preserve">). Our central methodological contribution is to show</w:t>
      </w:r>
      <w:r>
        <w:t xml:space="preserve"> </w:t>
      </w:r>
      <w:r>
        <w:t xml:space="preserve">that F-15 is governed not by the nominal vocabulary cardinality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V</m:t>
        </m:r>
        <m:r>
          <m:rPr>
            <m:sty m:val="p"/>
          </m:rPr>
          <m:t>|</m:t>
        </m:r>
      </m:oMath>
      <w:r>
        <w:t xml:space="preserve"> </w:t>
      </w:r>
      <w:r>
        <w:t xml:space="preserve">but by the</w:t>
      </w:r>
      <w:r>
        <w:t xml:space="preserve"> </w:t>
      </w:r>
      <w:r>
        <w:rPr>
          <w:i/>
          <w:iCs/>
        </w:rPr>
        <w:t xml:space="preserve">token-mass dispersion</w:t>
      </w:r>
      <w:r>
        <w:t xml:space="preserve"> </w:t>
      </w:r>
      <w:r>
        <w:t xml:space="preserve">of the</w:t>
      </w:r>
      <w:r>
        <w:t xml:space="preserve"> </w:t>
      </w:r>
      <w:r>
        <w:t xml:space="preserve">topic–word distributions, formalised as the effective vocabulary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q:dispersion">
        <w:r>
          <w:rPr>
            <w:rStyle w:val="Hyperlink"/>
          </w:rPr>
          <w:t xml:space="preserve">[eq:dispersion]</w:t>
        </w:r>
      </w:hyperlink>
      <w:r>
        <w:t xml:space="preserve">. The wordification</w:t>
      </w:r>
      <w:r>
        <w:t xml:space="preserve"> </w:t>
      </w:r>
      <w:r>
        <w:t xml:space="preserve">recipes themselves are defined in P3; we recall only the four we lean</w:t>
      </w:r>
      <w:r>
        <w:t xml:space="preserve"> </w:t>
      </w:r>
      <w:r>
        <w:t xml:space="preserve">on heavily — V1 (</w:t>
      </w:r>
      <w:hyperlink w:anchor="eq:v1">
        <w:r>
          <w:rPr>
            <w:rStyle w:val="Hyperlink"/>
          </w:rPr>
          <w:t xml:space="preserve">[eq:v1]</w:t>
        </w:r>
      </w:hyperlink>
      <w:r>
        <w:t xml:space="preserve">), V3 (</w:t>
      </w:r>
      <w:hyperlink w:anchor="eq:v3">
        <w:r>
          <w:rPr>
            <w:rStyle w:val="Hyperlink"/>
          </w:rPr>
          <w:t xml:space="preserve">[eq:v3]</w:t>
        </w:r>
      </w:hyperlink>
      <w:r>
        <w:t xml:space="preserve">), V12</w:t>
      </w:r>
      <w:r>
        <w:t xml:space="preserve"> </w:t>
      </w:r>
      <w:r>
        <w:t xml:space="preserve">(</w:t>
      </w:r>
      <w:hyperlink w:anchor="eq:v12">
        <w:r>
          <w:rPr>
            <w:rStyle w:val="Hyperlink"/>
          </w:rPr>
          <w:t xml:space="preserve">[eq:v12]</w:t>
        </w:r>
      </w:hyperlink>
      <w:r>
        <w:t xml:space="preserve">) and the label-aware V20 (</w:t>
      </w:r>
      <w:hyperlink w:anchor="eq:v20">
        <w:r>
          <w:rPr>
            <w:rStyle w:val="Hyperlink"/>
          </w:rPr>
          <w:t xml:space="preserve">[eq:v20]</w:t>
        </w:r>
      </w:hyperlink>
      <w:r>
        <w:t xml:space="preserve">) — whose</w:t>
      </w:r>
      <w:r>
        <w:t xml:space="preserve"> </w:t>
      </w:r>
      <w:r>
        <w:t xml:space="preserve">shared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V</m:t>
        </m:r>
        <m:r>
          <m:rPr>
            <m:sty m:val="p"/>
          </m:rPr>
          <m:t>|</m:t>
        </m:r>
      </m:oMath>
      <w:r>
        <w:t xml:space="preserve"> </w:t>
      </w:r>
      <w:r>
        <w:t xml:space="preserve">yet divergent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make them the</w:t>
      </w:r>
      <w:r>
        <w:t xml:space="preserve"> </w:t>
      </w:r>
      <w:r>
        <w:t xml:space="preserve">decisive test of the cardinality-versus-dispersion question.</w:t>
      </w:r>
    </w:p>
    <w:bookmarkStart w:id="13" w:name="subsec:axes"/>
    <w:p>
      <w:pPr>
        <w:pStyle w:val="Heading2"/>
      </w:pPr>
      <w:r>
        <w:t xml:space="preserve">The three axes</w:t>
      </w:r>
    </w:p>
    <w:p>
      <w:pPr>
        <w:pStyle w:val="FirstParagraph"/>
      </w:pPr>
      <w:r>
        <w:rPr>
          <w:b/>
          <w:bCs/>
        </w:rPr>
        <w:t xml:space="preserve">F-13 SHAP attribution.</w:t>
      </w:r>
      <w:r>
        <w:t xml:space="preserve"> </w:t>
      </w:r>
      <w:r>
        <w:t xml:space="preserve">For each pixel document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argmax topic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attribute</w:t>
      </w:r>
      <w:r>
        <w:t xml:space="preserve"> </w:t>
      </w:r>
      <m:oMath>
        <m:sSub>
          <m:e>
            <m:r>
              <m:t>θ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sSup>
              <m:e>
                <m:r>
                  <m:t>z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back to the recipe-</w:t>
      </w:r>
      <w:r>
        <w:t xml:space="preserve"> </w:t>
      </w:r>
      <w:r>
        <w:t xml:space="preserve">specific tokens via SHAP’s KernelExplainer against the closed-form</w:t>
      </w:r>
      <w:r>
        <w:t xml:space="preserve"> </w:t>
      </w:r>
      <w:r>
        <w:t xml:space="preserve">LDA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,</m:t>
        </m:r>
        <m:r>
          <m:t>ϕ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rPr>
            <m:sty m:val="p"/>
          </m:rPr>
          <m:t>(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v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v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ϕ</m:t>
            </m:r>
          </m:e>
          <m:sub>
            <m:r>
              <m:t>z</m:t>
            </m:r>
            <m:r>
              <m:rPr>
                <m:sty m:val="p"/>
              </m:rPr>
              <m:t>,</m:t>
            </m:r>
            <m:r>
              <m:t>v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log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small-document specialisation of the LDA generative model</w:t>
      </w:r>
      <w:r>
        <w:t xml:space="preserve"> </w:t>
      </w:r>
      <w:r>
        <w:t xml:space="preserve">(</w:t>
      </w:r>
      <w:hyperlink w:anchor="eq:lda-gen">
        <w:r>
          <w:rPr>
            <w:rStyle w:val="Hyperlink"/>
          </w:rPr>
          <w:t xml:space="preserve">[eq:lda-gen]</w:t>
        </w:r>
      </w:hyperlink>
      <w:r>
        <w:t xml:space="preserve">).</w:t>
      </w:r>
      <w:r>
        <w:t xml:space="preserve"> </w:t>
      </w:r>
      <w:r>
        <w:t xml:space="preserve">This gives a per-pixel per-topic attribution map over the</w:t>
      </w:r>
      <w:r>
        <w:t xml:space="preserve"> </w:t>
      </w:r>
      <w:r>
        <w:t xml:space="preserve">recipe’s vocabulary — exactly the type of explanation a reviewer</w:t>
      </w:r>
      <w:r>
        <w:t xml:space="preserve"> </w:t>
      </w:r>
      <w:r>
        <w:t xml:space="preserve">would ask for when claiming</w:t>
      </w:r>
      <w:r>
        <w:t xml:space="preserve"> </w:t>
      </w:r>
      <w:r>
        <w:t xml:space="preserve">“LDA is interpretable”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F-22 counterfactual L1.</w:t>
      </w:r>
      <w:r>
        <w:t xml:space="preserve"> </w:t>
      </w:r>
      <w:r>
        <w:t xml:space="preserve">For each document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with argmax</w:t>
      </w:r>
      <w:r>
        <w:t xml:space="preserve"> </w:t>
      </w:r>
      <w:r>
        <w:t xml:space="preserve">topic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search via coordinate descent for the minimum-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perturbation that flips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</w:t>
      </w:r>
      <w:r>
        <w:t xml:space="preserve"> </w:t>
      </w:r>
      <w:r>
        <w:t xml:space="preserve">discrete counterfactual of</w:t>
      </w:r>
      <w:r>
        <w:t xml:space="preserve"> </w:t>
      </w:r>
      <w:hyperlink w:anchor="eq:f22">
        <w:r>
          <w:rPr>
            <w:rStyle w:val="Hyperlink"/>
          </w:rPr>
          <w:t xml:space="preserve">[eq:f22]</w:t>
        </w:r>
      </w:hyperlink>
      <w:r>
        <w:t xml:space="preserve">.</w:t>
      </w:r>
      <w:r>
        <w:t xml:space="preserve"> </w:t>
      </w:r>
      <w:r>
        <w:t xml:space="preserve">Documents with high counterfactual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deeply embedded in</w:t>
      </w:r>
      <w:r>
        <w:t xml:space="preserve"> </w:t>
      </w:r>
      <w:r>
        <w:t xml:space="preserve">their topic; documents with low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 the topic boundary.</w:t>
      </w:r>
    </w:p>
    <w:p>
      <w:pPr>
        <w:pStyle w:val="BodyText"/>
      </w:pPr>
      <w:r>
        <w:rPr>
          <w:b/>
          <w:bCs/>
        </w:rPr>
        <w:t xml:space="preserve">F-15 LLM-as-judge alignment.</w:t>
      </w:r>
      <w:r>
        <w:t xml:space="preserve"> </w:t>
      </w:r>
      <w:r>
        <w:t xml:space="preserve">For each sampled document, an</w:t>
      </w:r>
      <w:r>
        <w:t xml:space="preserve"> </w:t>
      </w:r>
      <w:r>
        <w:t xml:space="preserve">LLM oracle is given the document’s top-10 tokens and the argmax</w:t>
      </w:r>
      <w:r>
        <w:t xml:space="preserve"> </w:t>
      </w:r>
      <w:r>
        <w:t xml:space="preserve">topic’s top-10 tokens and asked whether the document semantically</w:t>
      </w:r>
      <w:r>
        <w:t xml:space="preserve"> </w:t>
      </w:r>
      <w:r>
        <w:t xml:space="preserve">belongs to the topic; formally, the top-</w:t>
      </w:r>
      <m:oMath>
        <m:r>
          <m:t>N</m:t>
        </m:r>
      </m:oMath>
      <w:r>
        <w:t xml:space="preserve"> </w:t>
      </w:r>
      <w:r>
        <w:t xml:space="preserve">overlap indicator of</w:t>
      </w:r>
      <w:r>
        <w:t xml:space="preserve"> </w:t>
      </w:r>
      <w:hyperlink w:anchor="eq:f15">
        <w:r>
          <w:rPr>
            <w:rStyle w:val="Hyperlink"/>
          </w:rPr>
          <w:t xml:space="preserve">[eq:f15]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threshold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3</m:t>
        </m:r>
      </m:oMath>
      <w:r>
        <w:t xml:space="preserve">. Our internal run</w:t>
      </w:r>
      <w:r>
        <w:t xml:space="preserve"> </w:t>
      </w:r>
      <w:r>
        <w:t xml:space="preserve">substitutes the oracle with</w:t>
      </w:r>
      <w:r>
        <w:t xml:space="preserve"> </w:t>
      </w:r>
      <w:r>
        <w:t xml:space="preserve">the documented self-judgment rule of Claude Opus 4.7 (1M-token</w:t>
      </w:r>
      <w:r>
        <w:t xml:space="preserve"> </w:t>
      </w:r>
      <w:r>
        <w:t xml:space="preserve">context), encoded as a deterministic Python function in</w:t>
      </w:r>
      <w:r>
        <w:t xml:space="preserve"> </w:t>
      </w:r>
      <w:r>
        <w:rPr>
          <w:rStyle w:val="VerbatimChar"/>
        </w:rPr>
        <w:t xml:space="preserve">build_v_sweep_f15_self_judge.py</w:t>
      </w:r>
      <w:r>
        <w:t xml:space="preserve">; the canonical</w:t>
      </w:r>
      <w:r>
        <w:t xml:space="preserve"> </w:t>
      </w:r>
      <w:r>
        <w:t xml:space="preserve">Anthropic Messages API call is preserved in</w:t>
      </w:r>
      <w:r>
        <w:t xml:space="preserve"> </w:t>
      </w:r>
      <w:r>
        <w:rPr>
          <w:rStyle w:val="VerbatimChar"/>
        </w:rPr>
        <w:t xml:space="preserve">build_v_sweep_f15_llm_alignment.py</w:t>
      </w:r>
      <w:r>
        <w:t xml:space="preserve"> </w:t>
      </w:r>
      <w:r>
        <w:t xml:space="preserve">for repository users</w:t>
      </w:r>
      <w:r>
        <w:t xml:space="preserve"> </w:t>
      </w:r>
      <w:r>
        <w:t xml:space="preserve">with API access.</w:t>
      </w:r>
    </w:p>
    <w:bookmarkEnd w:id="13"/>
    <w:bookmarkEnd w:id="14"/>
    <w:bookmarkStart w:id="15" w:name="sec:related"/>
    <w:p>
      <w:pPr>
        <w:pStyle w:val="Heading1"/>
      </w:pPr>
      <w:r>
        <w:t xml:space="preserve">Related Work</w:t>
      </w:r>
    </w:p>
    <w:p>
      <w:pPr>
        <w:pStyle w:val="FirstParagraph"/>
      </w:pPr>
      <w:r>
        <w:rPr>
          <w:b/>
          <w:bCs/>
        </w:rPr>
        <w:t xml:space="preserve">Topic models on hyperspectral imagery.</w:t>
      </w:r>
      <w:r>
        <w:t xml:space="preserve"> </w:t>
      </w:r>
      <w:r>
        <w:t xml:space="preserve">Probabilistic topic</w:t>
      </w:r>
      <w:r>
        <w:t xml:space="preserve"> </w:t>
      </w:r>
      <w:r>
        <w:t xml:space="preserve">models were first applied to spectral data by Wahabzada</w:t>
      </w:r>
      <w:r>
        <w:t xml:space="preserve"> </w:t>
      </w:r>
      <w:r>
        <w:t xml:space="preserve">et al. </w:t>
      </w:r>
      <w:r>
        <w:t xml:space="preserve">(Wahabzada et al. 2015)</w:t>
      </w:r>
      <w:r>
        <w:t xml:space="preserve"> </w:t>
      </w:r>
      <w:r>
        <w:t xml:space="preserve">(plant phenotyping) and to subpixel</w:t>
      </w:r>
      <w:r>
        <w:t xml:space="preserve"> </w:t>
      </w:r>
      <w:r>
        <w:t xml:space="preserve">mixtures by Zou and Zare’s partial-membership LDA </w:t>
      </w:r>
      <w:r>
        <w:t xml:space="preserve">(Zou and Zare 2017)</w:t>
      </w:r>
      <w:r>
        <w:t xml:space="preserve">;</w:t>
      </w:r>
      <w:r>
        <w:t xml:space="preserve"> </w:t>
      </w:r>
      <w:r>
        <w:t xml:space="preserve">Liu et al. </w:t>
      </w:r>
      <w:r>
        <w:t xml:space="preserve">(Liu et al. 2019)</w:t>
      </w:r>
      <w:r>
        <w:t xml:space="preserve"> </w:t>
      </w:r>
      <w:r>
        <w:t xml:space="preserve">use LDA for spectral–spatial</w:t>
      </w:r>
      <w:r>
        <w:t xml:space="preserve"> </w:t>
      </w:r>
      <w:r>
        <w:t xml:space="preserve">classification. The CAOS_LDA_HSI programme </w:t>
      </w:r>
      <w:r>
        <w:t xml:space="preserve">(Santibañez-Leal et al. 2022)</w:t>
      </w:r>
      <w:r>
        <w:t xml:space="preserve"> </w:t>
      </w:r>
      <w:r>
        <w:t xml:space="preserve">casts a pixel spectrum as a</w:t>
      </w:r>
      <w:r>
        <w:t xml:space="preserve"> </w:t>
      </w:r>
      <w:r>
        <w:t xml:space="preserve">“document”</w:t>
      </w:r>
      <w:r>
        <w:t xml:space="preserve"> </w:t>
      </w:r>
      <w:r>
        <w:t xml:space="preserve">through a</w:t>
      </w:r>
      <w:r>
        <w:t xml:space="preserve"> </w:t>
      </w:r>
      <w:r>
        <w:rPr>
          <w:i/>
          <w:iCs/>
        </w:rPr>
        <w:t xml:space="preserve">wordification</w:t>
      </w:r>
      <w:r>
        <w:t xml:space="preserve"> </w:t>
      </w:r>
      <w:r>
        <w:t xml:space="preserve">recipe (</w:t>
      </w:r>
      <w:hyperlink w:anchor="eq:quantiser">
        <w:r>
          <w:rPr>
            <w:rStyle w:val="Hyperlink"/>
          </w:rPr>
          <w:t xml:space="preserve">[eq:quantiser]</w:t>
        </w:r>
      </w:hyperlink>
      <w:r>
        <w:t xml:space="preserve">) and runs online</w:t>
      </w:r>
      <w:r>
        <w:t xml:space="preserve"> </w:t>
      </w:r>
      <w:r>
        <w:t xml:space="preserve">variational LDA </w:t>
      </w:r>
      <w:r>
        <w:t xml:space="preserve">(Blei et al. 2003; Hoffman et al. 2010)</w:t>
      </w:r>
      <w:r>
        <w:t xml:space="preserve">. None of this</w:t>
      </w:r>
      <w:r>
        <w:t xml:space="preserve"> </w:t>
      </w:r>
      <w:r>
        <w:t xml:space="preserve">prior work asks whether the resulting topics are</w:t>
      </w:r>
      <w:r>
        <w:t xml:space="preserve"> </w:t>
      </w:r>
      <w:r>
        <w:rPr>
          <w:i/>
          <w:iCs/>
        </w:rPr>
        <w:t xml:space="preserve">post-hoc</w:t>
      </w:r>
      <w:r>
        <w:rPr>
          <w:i/>
          <w:iCs/>
        </w:rPr>
        <w:t xml:space="preserve"> </w:t>
      </w:r>
      <w:r>
        <w:rPr>
          <w:i/>
          <w:iCs/>
        </w:rPr>
        <w:t xml:space="preserve">interpretable</w:t>
      </w:r>
      <w:r>
        <w:t xml:space="preserve"> </w:t>
      </w:r>
      <w:r>
        <w:t xml:space="preserve">beyond inspecting top-</w:t>
      </w:r>
      <m:oMath>
        <m:r>
          <m:t>N</m:t>
        </m:r>
      </m:oMath>
      <w:r>
        <w:t xml:space="preserve"> </w:t>
      </w:r>
      <w:r>
        <w:t xml:space="preserve">words; that gap is the</w:t>
      </w:r>
      <w:r>
        <w:t xml:space="preserve"> </w:t>
      </w:r>
      <w:r>
        <w:t xml:space="preserve">subject of this paper.</w:t>
      </w:r>
    </w:p>
    <w:p>
      <w:pPr>
        <w:pStyle w:val="BodyText"/>
      </w:pPr>
      <w:r>
        <w:rPr>
          <w:b/>
          <w:bCs/>
        </w:rPr>
        <w:t xml:space="preserve">Topic-model evaluation.</w:t>
      </w:r>
      <w:r>
        <w:t xml:space="preserve"> </w:t>
      </w:r>
      <w:r>
        <w:t xml:space="preserve">The dominant automated proxy for</w:t>
      </w:r>
      <w:r>
        <w:t xml:space="preserve"> </w:t>
      </w:r>
      <w:r>
        <w:t xml:space="preserve">topic quality is coherence — NPMI /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 </w:t>
      </w:r>
      <w:r>
        <w:t xml:space="preserve">(Newman et al. 2010; Mimno et al. 2011; Röder et al. 2015)</w:t>
      </w:r>
      <w:r>
        <w:t xml:space="preserve"> </w:t>
      </w:r>
      <w:r>
        <w:t xml:space="preserve">(</w:t>
      </w:r>
      <w:hyperlink w:anchor="eq:f2">
        <w:r>
          <w:rPr>
            <w:rStyle w:val="Hyperlink"/>
          </w:rPr>
          <w:t xml:space="preserve">[eq:f2]</w:t>
        </w:r>
      </w:hyperlink>
      <w:r>
        <w:t xml:space="preserve">) — and</w:t>
      </w:r>
      <w:r>
        <w:t xml:space="preserve"> </w:t>
      </w:r>
      <w:r>
        <w:t xml:space="preserve">stability under reseeding </w:t>
      </w:r>
      <w:r>
        <w:t xml:space="preserve">(Greene et al. 2014)</w:t>
      </w:r>
      <w:r>
        <w:t xml:space="preserve"> </w:t>
      </w:r>
      <w:r>
        <w:t xml:space="preserve">(</w:t>
      </w:r>
      <w:hyperlink w:anchor="eq:f18">
        <w:r>
          <w:rPr>
            <w:rStyle w:val="Hyperlink"/>
          </w:rPr>
          <w:t xml:space="preserve">[eq:f18]</w:t>
        </w:r>
      </w:hyperlink>
      <w:r>
        <w:t xml:space="preserve">).</w:t>
      </w:r>
      <w:r>
        <w:t xml:space="preserve"> </w:t>
      </w:r>
      <w:r>
        <w:t xml:space="preserve">These reward internally consistent word lists but, as we show, are</w:t>
      </w:r>
      <w:r>
        <w:t xml:space="preserve"> </w:t>
      </w:r>
      <w:r>
        <w:t xml:space="preserve">themselves sensitive to the vocabulary regime. We treat F-2 and F-7</w:t>
      </w:r>
      <w:r>
        <w:t xml:space="preserve"> </w:t>
      </w:r>
      <w:r>
        <w:t xml:space="preserve">(</w:t>
      </w:r>
      <w:hyperlink w:anchor="eq:f7">
        <w:r>
          <w:rPr>
            <w:rStyle w:val="Hyperlink"/>
          </w:rPr>
          <w:t xml:space="preserve">[eq:f7]</w:t>
        </w:r>
      </w:hyperlink>
      <w:r>
        <w:t xml:space="preserve">) as the targets that our interpretability axes should</w:t>
      </w:r>
      <w:r>
        <w:t xml:space="preserve"> </w:t>
      </w:r>
      <w:r>
        <w:rPr>
          <w:i/>
          <w:iCs/>
        </w:rPr>
        <w:t xml:space="preserve">corroborate</w:t>
      </w:r>
      <w:r>
        <w:t xml:space="preserve"> </w:t>
      </w:r>
      <w:r>
        <w:t xml:space="preserve">rather than duplicate.</w:t>
      </w:r>
    </w:p>
    <w:p>
      <w:pPr>
        <w:pStyle w:val="BodyText"/>
      </w:pPr>
      <w:r>
        <w:rPr>
          <w:b/>
          <w:bCs/>
        </w:rPr>
        <w:t xml:space="preserve">Post-hoc interpretability and explanation.</w:t>
      </w:r>
      <w:r>
        <w:t xml:space="preserve"> </w:t>
      </w:r>
      <w:r>
        <w:t xml:space="preserve">SHAP</w:t>
      </w:r>
      <w:r>
        <w:t xml:space="preserve"> </w:t>
      </w:r>
      <w:r>
        <w:t xml:space="preserve">(Lundberg and Lee 2017)</w:t>
      </w:r>
      <w:r>
        <w:t xml:space="preserve"> </w:t>
      </w:r>
      <w:r>
        <w:t xml:space="preserve">gives additive, locally faithful feature</w:t>
      </w:r>
      <w:r>
        <w:t xml:space="preserve"> </w:t>
      </w:r>
      <w:r>
        <w:t xml:space="preserve">attributions with Shapley-value guarantees; we apply its</w:t>
      </w:r>
      <w:r>
        <w:t xml:space="preserve"> </w:t>
      </w:r>
      <w:r>
        <w:t xml:space="preserve">KernelExplainer to the closed-form LDA posterior (F-13). Counterfactual</w:t>
      </w:r>
      <w:r>
        <w:t xml:space="preserve"> </w:t>
      </w:r>
      <w:r>
        <w:t xml:space="preserve">explanations </w:t>
      </w:r>
      <w:r>
        <w:t xml:space="preserve">(Wachter et al. 2017)</w:t>
      </w:r>
      <w:r>
        <w:t xml:space="preserve"> </w:t>
      </w:r>
      <w:r>
        <w:t xml:space="preserve">characterise a decision</w:t>
      </w:r>
      <w:r>
        <w:t xml:space="preserve"> </w:t>
      </w:r>
      <w:r>
        <w:t xml:space="preserve">by the minimal input change that flips it; F-22 (</w:t>
      </w:r>
      <w:hyperlink w:anchor="eq:f22">
        <w:r>
          <w:rPr>
            <w:rStyle w:val="Hyperlink"/>
          </w:rPr>
          <w:t xml:space="preserve">[eq:f22]</w:t>
        </w:r>
      </w:hyperlink>
      <w:r>
        <w:t xml:space="preserve">) is</w:t>
      </w:r>
      <w:r>
        <w:t xml:space="preserve"> </w:t>
      </w:r>
      <w:r>
        <w:t xml:space="preserve">the topic-assignment counterfactual. The use of large language models</w:t>
      </w:r>
      <w:r>
        <w:t xml:space="preserve"> </w:t>
      </w:r>
      <w:r>
        <w:t xml:space="preserve">as automated topic judges follows Stammbach</w:t>
      </w:r>
      <w:r>
        <w:t xml:space="preserve"> </w:t>
      </w:r>
      <w:r>
        <w:t xml:space="preserve">et al. </w:t>
      </w:r>
      <w:r>
        <w:t xml:space="preserve">(Stammbach et al. 2023)</w:t>
      </w:r>
      <w:r>
        <w:t xml:space="preserve"> </w:t>
      </w:r>
      <w:r>
        <w:t xml:space="preserve">and the interpretable-evaluation</w:t>
      </w:r>
      <w:r>
        <w:t xml:space="preserve"> </w:t>
      </w:r>
      <w:r>
        <w:t xml:space="preserve">line of </w:t>
      </w:r>
      <w:r>
        <w:t xml:space="preserve">(</w:t>
      </w:r>
      <w:r>
        <w:t xml:space="preserve">Yang and collaborators</w:t>
      </w:r>
      <w:r>
        <w:t xml:space="preserve"> </w:t>
      </w:r>
      <w:r>
        <w:t xml:space="preserve">2025)</w:t>
      </w:r>
      <w:r>
        <w:t xml:space="preserve">; F-15 (</w:t>
      </w:r>
      <w:hyperlink w:anchor="eq:f15">
        <w:r>
          <w:rPr>
            <w:rStyle w:val="Hyperlink"/>
          </w:rPr>
          <w:t xml:space="preserve">[eq:f15]</w:t>
        </w:r>
      </w:hyperlink>
      <w:r>
        <w:t xml:space="preserve">) is our</w:t>
      </w:r>
      <w:r>
        <w:t xml:space="preserve"> </w:t>
      </w:r>
      <w:r>
        <w:t xml:space="preserve">LDA-on-HSI instantiation. Our contribution relative to this literature</w:t>
      </w:r>
      <w:r>
        <w:t xml:space="preserve"> </w:t>
      </w:r>
      <w:r>
        <w:t xml:space="preserve">is the observation that the LLM-as-judge proxy inherits a</w:t>
      </w:r>
      <w:r>
        <w:t xml:space="preserve"> </w:t>
      </w:r>
      <w:r>
        <w:rPr>
          <w:i/>
          <w:iCs/>
        </w:rPr>
        <w:t xml:space="preserve">token-mass-dispersion</w:t>
      </w:r>
      <w:r>
        <w:t xml:space="preserve"> </w:t>
      </w:r>
      <w:r>
        <w:t xml:space="preserve">artefact (</w:t>
      </w:r>
      <w:hyperlink w:anchor="eq:dispersion">
        <w:r>
          <w:rPr>
            <w:rStyle w:val="Hyperlink"/>
          </w:rPr>
          <w:t xml:space="preserve">[eq:dispersion]</w:t>
        </w:r>
      </w:hyperlink>
      <w:r>
        <w:t xml:space="preserve">) that is</w:t>
      </w:r>
      <w:r>
        <w:t xml:space="preserve"> </w:t>
      </w:r>
      <w:r>
        <w:t xml:space="preserve">invisible at the level of nominal vocabulary size.</w:t>
      </w:r>
    </w:p>
    <w:bookmarkEnd w:id="15"/>
    <w:bookmarkStart w:id="16" w:name="sec:method"/>
    <w:p>
      <w:pPr>
        <w:pStyle w:val="Heading1"/>
      </w:pPr>
      <w:r>
        <w:t xml:space="preserve">Method</w:t>
      </w:r>
    </w:p>
    <w:p>
      <w:pPr>
        <w:pStyle w:val="FirstParagraph"/>
      </w:pPr>
      <w:r>
        <w:rPr>
          <w:b/>
          <w:bCs/>
        </w:rPr>
        <w:t xml:space="preserve">Backbone, corpus and fits.</w:t>
      </w:r>
      <w:r>
        <w:t xml:space="preserve"> </w:t>
      </w:r>
      <w:r>
        <w:t xml:space="preserve">Every result in this paper uses</w:t>
      </w:r>
      <w:r>
        <w:t xml:space="preserve"> </w:t>
      </w:r>
      <w:r>
        <w:t xml:space="preserve">the LDA backbone (</w:t>
      </w:r>
      <w:hyperlink w:anchor="eq:lda-gen">
        <w:r>
          <w:rPr>
            <w:rStyle w:val="Hyperlink"/>
          </w:rPr>
          <w:t xml:space="preserve">[eq:lda-gen]</w:t>
        </w:r>
      </w:hyperlink>
      <w:r>
        <w:t xml:space="preserve">) fitted with scikit-learn’s</w:t>
      </w:r>
      <w:r>
        <w:t xml:space="preserve"> </w:t>
      </w:r>
      <w:r>
        <w:t xml:space="preserve">online variational solver </w:t>
      </w:r>
      <w:r>
        <w:t xml:space="preserve">(Pedregosa et al. 2011; Hoffman et al. 2010)</w:t>
      </w:r>
      <w:r>
        <w:t xml:space="preserve"> </w:t>
      </w:r>
      <w:r>
        <w:t xml:space="preserve">(</w:t>
      </w:r>
      <m:oMath>
        <m:r>
          <m:rPr>
            <m:scr m:val="monospace"/>
            <m:sty m:val="p"/>
          </m:rPr>
          <m:t>m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x</m:t>
        </m:r>
        <m:r>
          <m:rPr>
            <m:scr m:val="monospace"/>
            <m:sty m:val="p"/>
          </m:rPr>
          <m:t>_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t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r</m:t>
        </m:r>
        <m:r>
          <m:rPr>
            <m:sty m:val="p"/>
          </m:rPr>
          <m:t>=</m:t>
        </m:r>
        <m:r>
          <m:t>60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0.45</m:t>
        </m:r>
      </m:oMath>
      <w:r>
        <w:t xml:space="preserve">,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0.2</m:t>
        </m:r>
      </m:oMath>
      <w:r>
        <w:t xml:space="preserve">, seed</w:t>
      </w:r>
      <w:r>
        <w:t xml:space="preserve"> </w:t>
      </w:r>
      <m:oMath>
        <m:r>
          <m:t>42</m:t>
        </m:r>
      </m:oMath>
      <w:r>
        <w:t xml:space="preserve">),</w:t>
      </w:r>
      <w:r>
        <w:t xml:space="preserve"> </w:t>
      </w:r>
      <w:r>
        <w:t xml:space="preserve">the canonical fit of P3. The corpus is the six labelled scenes —</w:t>
      </w:r>
      <w:r>
        <w:t xml:space="preserve"> </w:t>
      </w:r>
      <w:r>
        <w:t xml:space="preserve">Indian Pines </w:t>
      </w:r>
      <w:r>
        <w:t xml:space="preserve">(Baumgardner et al. 2015)</w:t>
      </w:r>
      <w:r>
        <w:t xml:space="preserve">, Salinas and</w:t>
      </w:r>
      <w:r>
        <w:t xml:space="preserve"> </w:t>
      </w:r>
      <w:r>
        <w:t xml:space="preserve">Salinas-A </w:t>
      </w:r>
      <w:r>
        <w:t xml:space="preserve">(NASA/JPL Airborne Visible/Infrared Imaging Spectrometer Project 1998)</w:t>
      </w:r>
      <w:r>
        <w:t xml:space="preserve">, Pavia</w:t>
      </w:r>
      <w:r>
        <w:t xml:space="preserve"> </w:t>
      </w:r>
      <w:r>
        <w:t xml:space="preserve">University </w:t>
      </w:r>
      <w:r>
        <w:t xml:space="preserve">(German Aerospace Center (DLR) ROSIS sensor 2003)</w:t>
      </w:r>
      <w:r>
        <w:t xml:space="preserve">, Kennedy Space</w:t>
      </w:r>
      <w:r>
        <w:t xml:space="preserve"> </w:t>
      </w:r>
      <w:r>
        <w:t xml:space="preserve">Center </w:t>
      </w:r>
      <w:r>
        <w:t xml:space="preserve">(NASA/JPL Airborne Visible/Infrared Imaging Spectrometer Project 1996)</w:t>
      </w:r>
      <w:r>
        <w:t xml:space="preserve"> </w:t>
      </w:r>
      <w:r>
        <w:t xml:space="preserve">and Botswana </w:t>
      </w:r>
      <w:r>
        <w:t xml:space="preserve">(NASA EO-1 Hyperion Mission 2001)</w:t>
      </w:r>
      <w:r>
        <w:t xml:space="preserve">.</w:t>
      </w:r>
      <w:r>
        <w:t xml:space="preserve"> </w:t>
      </w:r>
      <w:r>
        <w:t xml:space="preserve">Documents are pixel spectra; tokens are produced by the wordification</w:t>
      </w:r>
      <w:r>
        <w:t xml:space="preserve"> </w:t>
      </w:r>
      <w:r>
        <w:t xml:space="preserve">recipes of P3 under the uniform quantiser (</w:t>
      </w:r>
      <w:hyperlink w:anchor="eq:quantiser">
        <w:r>
          <w:rPr>
            <w:rStyle w:val="Hyperlink"/>
          </w:rPr>
          <w:t xml:space="preserve">[eq:quantiser]</w:t>
        </w:r>
      </w:hyperlink>
      <w:r>
        <w:t xml:space="preserve">)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8</m:t>
        </m:r>
      </m:oMath>
      <w:r>
        <w:t xml:space="preserve">. We analyse the eighteen LDA-fitted recipes V1–V15, V17–V20</w:t>
      </w:r>
      <w:r>
        <w:t xml:space="preserve"> </w:t>
      </w:r>
      <w:r>
        <w:t xml:space="preserve">(V16, a foundation-model recipe, is scaffolded only).</w:t>
      </w:r>
    </w:p>
    <w:p>
      <w:pPr>
        <w:pStyle w:val="BodyText"/>
      </w:pPr>
      <w:r>
        <w:rPr>
          <w:b/>
          <w:bCs/>
        </w:rPr>
        <w:t xml:space="preserve">F-13.</w:t>
      </w:r>
      <w:r>
        <w:t xml:space="preserve"> </w:t>
      </w:r>
      <w:r>
        <w:t xml:space="preserve">We sample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documents per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rPr>
            <m:nor/>
            <m:sty m:val="p"/>
          </m:rPr>
          <m:t>scene</m:t>
        </m:r>
        <m:r>
          <m:rPr>
            <m:sty m:val="p"/>
          </m:rPr>
          <m:t>)</m:t>
        </m:r>
      </m:oMath>
      <w:r>
        <w:t xml:space="preserve"> </w:t>
      </w:r>
      <w:r>
        <w:t xml:space="preserve">cell</w:t>
      </w:r>
      <w:r>
        <w:t xml:space="preserve"> </w:t>
      </w:r>
      <w:r>
        <w:t xml:space="preserve">and use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background documents per SHAP KernelExplainer call against</w:t>
      </w:r>
      <w:r>
        <w:t xml:space="preserve"> </w:t>
      </w:r>
      <w:r>
        <w:t xml:space="preserve">the closed-form posterior, reporting the top-</w:t>
      </w:r>
      <m:oMath>
        <m:r>
          <m:t>8</m:t>
        </m:r>
      </m:oMath>
      <w:r>
        <w:t xml:space="preserve"> </w:t>
      </w:r>
      <w:r>
        <w:t xml:space="preserve">tokens per topic by</w:t>
      </w:r>
      <w:r>
        <w:t xml:space="preserve"> </w:t>
      </w:r>
      <w:r>
        <w:t xml:space="preserve">mean absolute SHAP value. The closed-form posterior is preferred over</w:t>
      </w:r>
      <w:r>
        <w:t xml:space="preserve"> </w:t>
      </w:r>
      <w:r>
        <w:t xml:space="preserve">the amortised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 </w:t>
      </w:r>
      <w:r>
        <w:t xml:space="preserve">because the latter needs internal</w:t>
      </w:r>
      <w:r>
        <w:t xml:space="preserve"> </w:t>
      </w:r>
      <w:r>
        <w:t xml:space="preserve">state that cannot be restored from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alone.</w:t>
      </w:r>
    </w:p>
    <w:p>
      <w:pPr>
        <w:pStyle w:val="BodyText"/>
      </w:pPr>
      <w:r>
        <w:rPr>
          <w:b/>
          <w:bCs/>
        </w:rPr>
        <w:t xml:space="preserve">F-22.</w:t>
      </w:r>
      <w:r>
        <w:t xml:space="preserve"> </w:t>
      </w:r>
      <w:r>
        <w:t xml:space="preserve">We compute the discrete minimum-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counterfactual of</w:t>
      </w:r>
      <w:r>
        <w:t xml:space="preserve"> </w:t>
      </w:r>
      <w:hyperlink w:anchor="eq:f22">
        <w:r>
          <w:rPr>
            <w:rStyle w:val="Hyperlink"/>
          </w:rPr>
          <w:t xml:space="preserve">[eq:f22]</w:t>
        </w:r>
      </w:hyperlink>
      <w:r>
        <w:t xml:space="preserve"> </w:t>
      </w:r>
      <w:r>
        <w:t xml:space="preserve">by coordinate descent over the integer token-count</w:t>
      </w:r>
      <w:r>
        <w:t xml:space="preserve"> </w:t>
      </w:r>
      <w:r>
        <w:t xml:space="preserve">lattice, capped at a sentinel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_</m:t>
        </m:r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P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50</m:t>
        </m:r>
      </m:oMath>
      <w:r>
        <w:t xml:space="preserve">; cells in which</w:t>
      </w:r>
      <w:r>
        <w:t xml:space="preserve"> </w:t>
      </w:r>
      <w:r>
        <w:t xml:space="preserve">no sampled document flips persist at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rather than being dropped,</w:t>
      </w:r>
      <w:r>
        <w:t xml:space="preserve"> </w:t>
      </w:r>
      <w:r>
        <w:t xml:space="preserve">so that</w:t>
      </w:r>
      <w:r>
        <w:t xml:space="preserve"> </w:t>
      </w:r>
      <w:r>
        <w:t xml:space="preserve">“unflippable”</w:t>
      </w:r>
      <w:r>
        <w:t xml:space="preserve"> </w:t>
      </w:r>
      <w:r>
        <w:t xml:space="preserve">bases are not silently treated as missing.</w:t>
      </w:r>
      <w:r>
        <w:t xml:space="preserve"> </w:t>
      </w:r>
      <w:r>
        <w:t xml:space="preserve">We report the per-scene median over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sampled documents, then the</w:t>
      </w:r>
      <w:r>
        <w:t xml:space="preserve"> </w:t>
      </w:r>
      <w:r>
        <w:t xml:space="preserve">mean across the six scenes.</w:t>
      </w:r>
    </w:p>
    <w:p>
      <w:pPr>
        <w:pStyle w:val="BodyText"/>
      </w:pPr>
      <w:r>
        <w:rPr>
          <w:b/>
          <w:bCs/>
        </w:rPr>
        <w:t xml:space="preserve">F-15 and the dispersion metric.</w:t>
      </w:r>
      <w:r>
        <w:t xml:space="preserve"> </w:t>
      </w:r>
      <w:r>
        <w:t xml:space="preserve">F-15 is the top-</w:t>
      </w:r>
      <m:oMath>
        <m:r>
          <m:t>N</m:t>
        </m:r>
      </m:oMath>
      <w:r>
        <w:t xml:space="preserve"> </w:t>
      </w:r>
      <w:r>
        <w:t xml:space="preserve">overlap</w:t>
      </w:r>
      <w:r>
        <w:t xml:space="preserve"> </w:t>
      </w:r>
      <w:r>
        <w:t xml:space="preserve">indicator of</w:t>
      </w:r>
      <w:r>
        <w:t xml:space="preserve"> </w:t>
      </w:r>
      <w:hyperlink w:anchor="eq:f15">
        <w:r>
          <w:rPr>
            <w:rStyle w:val="Hyperlink"/>
          </w:rPr>
          <w:t xml:space="preserve">[eq:f15]</w:t>
        </w:r>
      </w:hyperlink>
      <w:r>
        <w:t xml:space="preserve"> </w:t>
      </w:r>
      <w:r>
        <w:t xml:space="preserve">averaged over sampled documents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3</m:t>
        </m:r>
      </m:oMath>
      <w:r>
        <w:t xml:space="preserve">, with a sparse-event fallback that accepts a</w:t>
      </w:r>
      <w:r>
        <w:t xml:space="preserve"> </w:t>
      </w:r>
      <w:r>
        <w:t xml:space="preserve">document whose top-</w:t>
      </w:r>
      <m:oMath>
        <m:r>
          <m:t>1</m:t>
        </m:r>
      </m:oMath>
      <w:r>
        <w:t xml:space="preserve"> </w:t>
      </w:r>
      <w:r>
        <w:t xml:space="preserve">token lies in the topic’s top-</w:t>
      </w:r>
      <m:oMath>
        <m:r>
          <m:t>5</m:t>
        </m:r>
      </m:oMath>
      <w:r>
        <w:t xml:space="preserve">). To explain</w:t>
      </w:r>
      <w:r>
        <w:t xml:space="preserve"> </w:t>
      </w:r>
      <w:r>
        <w:t xml:space="preserve">its behaviour we compute, for each topic-word distribution</w:t>
      </w:r>
      <w:r>
        <w:t xml:space="preserve"> </w:t>
      </w:r>
      <m:oMath>
        <m:sSub>
          <m:e>
            <m:r>
              <m:t>ϕ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token-mass dispersion of</w:t>
      </w:r>
      <w:r>
        <w:t xml:space="preserve"> </w:t>
      </w:r>
      <w:hyperlink w:anchor="eq:dispersion">
        <w:r>
          <w:rPr>
            <w:rStyle w:val="Hyperlink"/>
          </w:rPr>
          <w:t xml:space="preserve">[eq:dispersion]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ϕ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ϕ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v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ϕ</m:t>
                      </m:r>
                    </m:e>
                    <m:sub>
                      <m:r>
                        <m:t>k</m:t>
                      </m:r>
                      <m:r>
                        <m:t>v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ϕ</m:t>
                  </m:r>
                </m:e>
                <m:sub>
                  <m:r>
                    <m:t>k</m:t>
                  </m:r>
                  <m:r>
                    <m:t>v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effective number of tokens carrying a topic’s mass. A low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means the topic concentrates on few tokens, so its</w:t>
      </w:r>
      <w:r>
        <w:t xml:space="preserve"> </w:t>
      </w:r>
      <w:r>
        <w:t xml:space="preserve">top-</w:t>
      </w:r>
      <m:oMath>
        <m:r>
          <m:t>N</m:t>
        </m:r>
      </m:oMath>
      <w:r>
        <w:t xml:space="preserve"> </w:t>
      </w:r>
      <w:r>
        <w:t xml:space="preserve">is more likely to overlap a document’s top-</w:t>
      </w:r>
      <m:oMath>
        <m:r>
          <m:t>N</m:t>
        </m:r>
      </m:oMath>
      <w:r>
        <w:t xml:space="preserve">; a high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spreads mass thinly and depresses the overlap even</w:t>
      </w:r>
      <w:r>
        <w:t xml:space="preserve"> </w:t>
      </w:r>
      <w:r>
        <w:t xml:space="preserve">when the topic is coherent. We report the per-recipe mean of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sSub>
          <m:e>
            <m:r>
              <m:t>ϕ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topics and scenes, paired with F-15 and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V</m:t>
        </m:r>
        <m:r>
          <m:rPr>
            <m:sty m:val="p"/>
          </m:rPr>
          <m:t>|</m:t>
        </m:r>
      </m:oMath>
      <w:r>
        <w:t xml:space="preserve">. This is the quantity plotted in</w:t>
      </w:r>
      <w:r>
        <w:t xml:space="preserve"> </w:t>
      </w:r>
      <w:r>
        <w:t xml:space="preserve">Fig. </w:t>
      </w:r>
      <w:hyperlink w:anchor="fig:dispersion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and is the mechanism behind the</w:t>
      </w:r>
      <w:r>
        <w:t xml:space="preserve"> </w:t>
      </w:r>
      <w:r>
        <w:t xml:space="preserve">abstract’s</w:t>
      </w:r>
      <w:r>
        <w:t xml:space="preserve"> </w:t>
      </w:r>
      <w:r>
        <w:t xml:space="preserve">“dispersion not cardinality”</w:t>
      </w:r>
      <w:r>
        <w:t xml:space="preserve"> </w:t>
      </w:r>
      <w:r>
        <w:t xml:space="preserve">thesis.</w:t>
      </w:r>
    </w:p>
    <w:bookmarkEnd w:id="16"/>
    <w:bookmarkStart w:id="17" w:name="sec:f13"/>
    <w:p>
      <w:pPr>
        <w:pStyle w:val="Heading1"/>
      </w:pPr>
      <w:r>
        <w:t xml:space="preserve">F-13 SHAP results</w:t>
      </w:r>
    </w:p>
    <w:p>
      <w:pPr>
        <w:pStyle w:val="FirstParagraph"/>
      </w:pPr>
      <w:r>
        <w:t xml:space="preserve">Under the F-13 protocol of §</w:t>
      </w:r>
      <w:hyperlink w:anchor="sec:method">
        <w:r>
          <w:rPr>
            <w:rStyle w:val="Hyperlink"/>
          </w:rPr>
          <w:t xml:space="preserve">3</w:t>
        </w:r>
      </w:hyperlink>
      <w:r>
        <w:t xml:space="preserve">, the headline result is</w:t>
      </w:r>
      <w:r>
        <w:t xml:space="preserve"> </w:t>
      </w:r>
      <w:r>
        <w:t xml:space="preserve">that SHAP attributions are</w:t>
      </w:r>
      <w:r>
        <w:t xml:space="preserve"> </w:t>
      </w:r>
      <w:r>
        <w:rPr>
          <w:i/>
          <w:iCs/>
        </w:rPr>
        <w:t xml:space="preserve">recipe-grounded</w:t>
      </w:r>
      <w:r>
        <w:t xml:space="preserve">: a V1 topic’s top SHAP token always names a</w:t>
      </w:r>
      <w:r>
        <w:t xml:space="preserve"> </w:t>
      </w:r>
      <w:r>
        <w:t xml:space="preserve">wavelength band; a V7 topic’s top SHAP token names an absorption</w:t>
      </w:r>
      <w:r>
        <w:t xml:space="preserve"> </w:t>
      </w:r>
      <w:r>
        <w:t xml:space="preserve">feature</w:t>
      </w:r>
      <w:r>
        <w:t xml:space="preserve"> </w:t>
      </w:r>
      <w:r>
        <w:t xml:space="preserve">“</w:t>
      </w:r>
      <w:r>
        <w:rPr>
          <w:rStyle w:val="VerbatimChar"/>
        </w:rPr>
        <w:t xml:space="preserve">abs_c4_d7_a3</w:t>
      </w:r>
      <w:r>
        <w:t xml:space="preserve">”</w:t>
      </w:r>
      <w:r>
        <w:t xml:space="preserve"> </w:t>
      </w:r>
      <w:r>
        <w:t xml:space="preserve">(centre, depth, area bucket);</w:t>
      </w:r>
      <w:r>
        <w:t xml:space="preserve"> </w:t>
      </w:r>
      <w:r>
        <w:t xml:space="preserve">a V12 topic’s top SHAP token names a (band, Gaussian-component)</w:t>
      </w:r>
      <w:r>
        <w:t xml:space="preserve"> </w:t>
      </w:r>
      <w:r>
        <w:t xml:space="preserve">pair. This recipe-grounding is what makes F-13 a defensible</w:t>
      </w:r>
      <w:r>
        <w:t xml:space="preserve"> </w:t>
      </w:r>
      <w:r>
        <w:t xml:space="preserve">interpretability axis: the explanation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silently shift</w:t>
      </w:r>
      <w:r>
        <w:t xml:space="preserve"> </w:t>
      </w:r>
      <w:r>
        <w:t xml:space="preserve">between scenes because the vocabulary is fixed by the recipe.</w:t>
      </w:r>
    </w:p>
    <w:p>
      <w:pPr>
        <w:pStyle w:val="BodyText"/>
      </w:pPr>
      <w:r>
        <w:t xml:space="preserve">A sample from Indian Pines, recipe V7, topic 0:</w:t>
      </w:r>
    </w:p>
    <w:p>
      <w:pPr>
        <w:pStyle w:val="SourceCode"/>
      </w:pPr>
      <w:r>
        <w:rPr>
          <w:rStyle w:val="VerbatimChar"/>
        </w:rPr>
        <w:t xml:space="preserve">abs_c4_d7_a3   mean|SHAP| = 0.0207</w:t>
      </w:r>
      <w:r>
        <w:br/>
      </w:r>
      <w:r>
        <w:rPr>
          <w:rStyle w:val="VerbatimChar"/>
        </w:rPr>
        <w:t xml:space="preserve">abs_c3_d4_a2   mean|SHAP| = 0.0184</w:t>
      </w:r>
      <w:r>
        <w:br/>
      </w:r>
      <w:r>
        <w:rPr>
          <w:rStyle w:val="VerbatimChar"/>
        </w:rPr>
        <w:t xml:space="preserve">abs_c4_d6_a3   mean|SHAP| = 0.0163</w:t>
      </w:r>
    </w:p>
    <w:p>
      <w:pPr>
        <w:pStyle w:val="FirstParagraph"/>
      </w:pPr>
      <w:r>
        <w:t xml:space="preserve">A geospectroscopist reading these can immediately ask: what is the</w:t>
      </w:r>
      <w:r>
        <w:t xml:space="preserve"> </w:t>
      </w:r>
      <w:r>
        <w:t xml:space="preserve">wavelength range of centroid bucket 4? Why are depth bins 6 and 7</w:t>
      </w:r>
      <w:r>
        <w:t xml:space="preserve"> </w:t>
      </w:r>
      <w:r>
        <w:t xml:space="preserve">elevated? The answer is independent of which scene we apply V7 to.</w:t>
      </w:r>
    </w:p>
    <w:bookmarkEnd w:id="17"/>
    <w:bookmarkStart w:id="19" w:name="sec:f22"/>
    <w:p>
      <w:pPr>
        <w:pStyle w:val="Heading1"/>
      </w:pPr>
      <w:r>
        <w:t xml:space="preserve">F-22 counterfactual results</w:t>
      </w:r>
    </w:p>
    <w:p>
      <w:pPr>
        <w:pStyle w:val="FirstParagraph"/>
      </w:pPr>
      <w:r>
        <w:t xml:space="preserve">Table </w:t>
      </w:r>
      <w:hyperlink w:anchor="tab:f22-summary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reports the median minimum-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perturbation that flips the argmax topic, averaged across 20 sampled</w:t>
      </w:r>
      <w:r>
        <w:t xml:space="preserve"> </w:t>
      </w:r>
      <w:r>
        <w:t xml:space="preserve">documents per (V, scene) cell.</w:t>
      </w:r>
    </w:p>
    <w:bookmarkStart w:id="18" w:name="tab:f22-summary"/>
    <w:p>
      <w:pPr>
        <w:pStyle w:val="TableCaption"/>
      </w:pPr>
      <w:r>
        <w:t xml:space="preserve">F-22 median counterfactual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flip argmax topic, mean</w:t>
      </w:r>
      <w:r>
        <w:t xml:space="preserve"> </w:t>
      </w:r>
      <w:r>
        <w:t xml:space="preserve">across 6 labelled scenes, full 19-recipe sweep with the sentinel patch</w:t>
      </w:r>
      <w:r>
        <w:t xml:space="preserve"> </w:t>
      </w:r>
      <w:r>
        <w:t xml:space="preserve">(cells where every sampled document fails to flip within</w:t>
      </w:r>
      <w:r>
        <w:t xml:space="preserve"> </w:t>
      </w:r>
      <m:oMath>
        <m:r>
          <m:rPr>
            <m:nor/>
            <m:sty m:val="p"/>
          </m:rPr>
          <m:t>MAX_STEPS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persist at 50 rather than being dropped).</w:t>
      </w:r>
      <w:r>
        <w:t xml:space="preserve"> </w:t>
      </w:r>
      <w:r>
        <w:t xml:space="preserve">Higher means more robust topic boundary.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-22 median counterfactual L_1 to flip argmax topic, mean across 6 labelled scenes, full 19-recipe sweep with the sentinel patch (cells where every sampled document fails to flip within \text{MAX\_STEPS}=50 persist at 50 rather than being dropped). Higher means more robust topic boundary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Recipe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26.33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</w:tbl>
    <w:bookmarkEnd w:id="18"/>
    <w:p>
      <w:pPr>
        <w:pStyle w:val="BodyText"/>
      </w:pPr>
      <w:r>
        <w:t xml:space="preserve">V20’s topics are</w:t>
      </w:r>
      <w:r>
        <w:t xml:space="preserve"> </w:t>
      </w:r>
      <m:oMath>
        <m:r>
          <m:rPr>
            <m:sty m:val="p"/>
          </m:rPr>
          <m:t>∼</m:t>
        </m:r>
        <m:r>
          <m:t>26</m:t>
        </m:r>
        <m:r>
          <m:rPr>
            <m:sty m:val="p"/>
          </m:rPr>
          <m:t>×</m:t>
        </m:r>
      </m:oMath>
      <w:r>
        <w:t xml:space="preserve"> </w:t>
      </w:r>
      <w:r>
        <w:t xml:space="preserve">harder to flip than V9’s, and V20</w:t>
      </w:r>
      <w:r>
        <w:t xml:space="preserve"> </w:t>
      </w:r>
      <w:r>
        <w:t xml:space="preserve">edges V12 (24.5) and V3 (23.5) for the most-robust basis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This complements P3’s F-2/F-7 finding: the label-aware MI-weighted</w:t>
      </w:r>
      <w:r>
        <w:t xml:space="preserve"> </w:t>
      </w:r>
      <w:r>
        <w:t xml:space="preserve">recipe V20 wins coherence-adjacent robustness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(at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32</m:t>
        </m:r>
      </m:oMath>
      <w:r>
        <w:t xml:space="preserve">)</w:t>
      </w:r>
      <w:r>
        <w:t xml:space="preserve"> </w:t>
      </w:r>
      <w:r>
        <w:t xml:space="preserve">F-7, which together rule out the alternative explanation that the</w:t>
      </w:r>
      <w:r>
        <w:t xml:space="preserve"> </w:t>
      </w:r>
      <w:r>
        <w:t xml:space="preserve">coherence advantage is an artefact of overfitting to its training</w:t>
      </w:r>
      <w:r>
        <w:t xml:space="preserve"> </w:t>
      </w:r>
      <w:r>
        <w:t xml:space="preserve">documents.</w:t>
      </w:r>
    </w:p>
    <w:bookmarkEnd w:id="19"/>
    <w:bookmarkStart w:id="29" w:name="sec:f15"/>
    <w:p>
      <w:pPr>
        <w:pStyle w:val="Heading1"/>
      </w:pPr>
      <w:r>
        <w:t xml:space="preserve">F-15 LLM-judge results: token-mass dispersion, not vocabulary</w:t>
      </w:r>
      <w:r>
        <w:t xml:space="preserve"> </w:t>
      </w:r>
      <w:r>
        <w:t xml:space="preserve">size</w:t>
      </w:r>
    </w:p>
    <w:p>
      <w:pPr>
        <w:pStyle w:val="FirstParagraph"/>
      </w:pPr>
      <w:r>
        <w:t xml:space="preserve">The LLM-as-judge rule (</w:t>
      </w:r>
      <w:hyperlink w:anchor="eq:f15">
        <w:r>
          <w:rPr>
            <w:rStyle w:val="Hyperlink"/>
          </w:rPr>
          <w:t xml:space="preserve">[eq:f15]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3</m:t>
        </m:r>
      </m:oMath>
      <w:r>
        <w:t xml:space="preserve">) marks a</w:t>
      </w:r>
      <w:r>
        <w:t xml:space="preserve"> </w:t>
      </w:r>
      <w:r>
        <w:t xml:space="preserve">document</w:t>
      </w:r>
      <w:r>
        <w:t xml:space="preserve"> </w:t>
      </w:r>
      <w:r>
        <w:rPr>
          <w:i/>
          <w:iCs/>
        </w:rPr>
        <w:t xml:space="preserve">aligned</w:t>
      </w:r>
      <w:r>
        <w:t xml:space="preserve"> </w:t>
      </w:r>
      <w:r>
        <w:t xml:space="preserve">with its argmax topic if its top-10 tokens</w:t>
      </w:r>
      <w:r>
        <w:t xml:space="preserve"> </w:t>
      </w:r>
      <w:r>
        <w:t xml:space="preserve">share</w:t>
      </w:r>
      <w:r>
        <w:t xml:space="preserve"> </w:t>
      </w:r>
      <m:oMath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elements with the topic’s top-10 (or if the document’s</w:t>
      </w:r>
      <w:r>
        <w:t xml:space="preserve"> </w:t>
      </w:r>
      <w:r>
        <w:t xml:space="preserve">top-1 token is in the topic’s top-5, covering the sparse-event regime</w:t>
      </w:r>
      <w:r>
        <w:t xml:space="preserve"> </w:t>
      </w:r>
      <w:r>
        <w:t xml:space="preserve">of V7 / V9). Per-recipe mean F-15 across the 6 labelled scenes:</w:t>
      </w:r>
    </w:p>
    <w:bookmarkStart w:id="20" w:name="tab:f15"/>
    <w:p>
      <w:pPr>
        <w:pStyle w:val="TableCaption"/>
      </w:pPr>
      <w:r>
        <w:t xml:space="preserve">F-15 LLM-judge alignment fraction (Claude Opus 4.7 self-judge</w:t>
      </w:r>
      <w:r>
        <w:t xml:space="preserve"> </w:t>
      </w:r>
      <w:r>
        <w:t xml:space="preserve">under the documented rule).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-15 LLM-judge alignment fraction (Claude Opus 4.7 self-judge under the documented rule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Recipe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vocabulary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V</m:t>
              </m:r>
              <m:r>
                <m:rPr>
                  <m:sty m:val="p"/>
                </m:rPr>
                <m:t>|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≈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R</m:t>
              </m:r>
              <m:r>
                <m:rPr>
                  <m:sty m:val="p"/>
                </m:rPr>
                <m:t>⋅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≤</m:t>
              </m:r>
              <m:sSub>
                <m:e>
                  <m:r>
                    <m:t>C</m:t>
                  </m:r>
                </m:e>
                <m:sub>
                  <m:r>
                    <m:t>b</m:t>
                  </m:r>
                </m:sub>
              </m:sSub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0.642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0.158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</w:tr>
    </w:tbl>
    <w:bookmarkEnd w:id="20"/>
    <w:p>
      <w:pPr>
        <w:pStyle w:val="BodyText"/>
      </w:pPr>
      <w:r>
        <w:t xml:space="preserve">The ranking is</w:t>
      </w:r>
      <w:r>
        <w:t xml:space="preserve"> </w:t>
      </w:r>
      <w:r>
        <w:rPr>
          <w:i/>
          <w:iCs/>
        </w:rPr>
        <w:t xml:space="preserve">anti-correlated</w:t>
      </w:r>
      <w:r>
        <w:t xml:space="preserve"> </w:t>
      </w:r>
      <w:r>
        <w:t xml:space="preserve">with F-2 coherence on the</w:t>
      </w:r>
      <w:r>
        <w:t xml:space="preserve"> </w:t>
      </w:r>
      <w:r>
        <w:t xml:space="preserve">large-vocabulary recipes V3 and V12. This is not a flaw of those</w:t>
      </w:r>
      <w:r>
        <w:t xml:space="preserve"> </w:t>
      </w:r>
      <w:r>
        <w:t xml:space="preserve">recipes; it is a confounder in the F-15 metric definition — but the</w:t>
      </w:r>
      <w:r>
        <w:t xml:space="preserve"> </w:t>
      </w:r>
      <w:r>
        <w:t xml:space="preserve">full sweep shows the confounder is</w:t>
      </w:r>
      <w:r>
        <w:t xml:space="preserve"> </w:t>
      </w:r>
      <w:r>
        <w:rPr>
          <w:b/>
          <w:bCs/>
        </w:rPr>
        <w:t xml:space="preserve">not nominal</w:t>
      </w:r>
      <w:r>
        <w:rPr>
          <w:b/>
          <w:bCs/>
        </w:rPr>
        <w:t xml:space="preserve"> </w:t>
      </w:r>
      <w:r>
        <w:rPr>
          <w:b/>
          <w:bCs/>
        </w:rPr>
        <w:t xml:space="preserve">vocabulary cardinality</w:t>
      </w:r>
      <w:r>
        <w:t xml:space="preserve">. Fig. </w:t>
      </w:r>
      <w:hyperlink w:anchor="fig:f15vocab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plots F-15 against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V</m:t>
        </m:r>
        <m:r>
          <m:rPr>
            <m:sty m:val="p"/>
          </m:rPr>
          <m:t>|</m:t>
        </m:r>
      </m:oMath>
      <w:r>
        <w:t xml:space="preserve"> </w:t>
      </w:r>
      <w:r>
        <w:t xml:space="preserve">directly: a pure-cardinality account predicts a</w:t>
      </w:r>
      <w:r>
        <w:t xml:space="preserve"> </w:t>
      </w:r>
      <w:r>
        <w:t xml:space="preserve">monotone decreasing curve, but several large-vocabulary recipes break</w:t>
      </w:r>
      <w:r>
        <w:t xml:space="preserve"> </w:t>
      </w:r>
      <w:r>
        <w:t xml:space="preserve">it. V9 (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V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647</m:t>
        </m:r>
      </m:oMath>
      <w:r>
        <w:t xml:space="preserve">) scores</w:t>
      </w:r>
      <w:r>
        <w:t xml:space="preserve"> </w:t>
      </w:r>
      <m:oMath>
        <m:r>
          <m:t>1.000</m:t>
        </m:r>
      </m:oMath>
      <w:r>
        <w:t xml:space="preserve">; V14 (CWT-Morlet,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V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1024</m:t>
        </m:r>
      </m:oMath>
      <w:r>
        <w:t xml:space="preserve">) scores</w:t>
      </w:r>
      <w:r>
        <w:t xml:space="preserve"> </w:t>
      </w:r>
      <m:oMath>
        <m:r>
          <m:t>0.950</m:t>
        </m:r>
      </m:oMath>
      <w:r>
        <w:t xml:space="preserve">; and V20 (MI-weighted, mean</w:t>
      </w:r>
      <w:r>
        <w:t xml:space="preserve"> </w:t>
      </w:r>
      <w:r>
        <w:t xml:space="preserve">nominal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V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1376</m:t>
        </m:r>
      </m:oMath>
      <w:r>
        <w:t xml:space="preserve"> </w:t>
      </w:r>
      <w:r>
        <w:t xml:space="preserve">across scenes, the same size as</w:t>
      </w:r>
      <w:r>
        <w:t xml:space="preserve"> </w:t>
      </w:r>
      <w:r>
        <w:t xml:space="preserve">V3/V12) scores</w:t>
      </w:r>
      <w:r>
        <w:t xml:space="preserve"> </w:t>
      </w:r>
      <m:oMath>
        <m:r>
          <m:t>0.642</m:t>
        </m:r>
      </m:oMath>
      <w:r>
        <w:t xml:space="preserve"> </w:t>
      </w:r>
      <w:r>
        <w:t xml:space="preserve">— all far above V12 (</w:t>
      </w:r>
      <m:oMath>
        <m:r>
          <m:t>0.158</m:t>
        </m:r>
      </m:oMath>
      <w:r>
        <w:t xml:space="preserve">)</w:t>
      </w:r>
      <w:r>
        <w:t xml:space="preserve"> </w:t>
      </w:r>
      <w:r>
        <w:t xml:space="preserve">and V3 (</w:t>
      </w:r>
      <m:oMath>
        <m:r>
          <m:t>0.117</m:t>
        </m:r>
      </m:oMath>
      <w:r>
        <w:t xml:space="preserve">) at equal or larger vocabulary.</w:t>
      </w:r>
    </w:p>
    <w:p>
      <w:pPr>
        <w:pStyle w:val="BodyText"/>
      </w:pPr>
      <w:r>
        <w:t xml:space="preserve">The mechanism is</w:t>
      </w:r>
      <w:r>
        <w:t xml:space="preserve"> </w:t>
      </w:r>
      <w:r>
        <w:rPr>
          <w:i/>
          <w:iCs/>
        </w:rPr>
        <w:t xml:space="preserve">token-mass dispersion</w:t>
      </w:r>
      <w:r>
        <w:t xml:space="preserve">, made quantitative by</w:t>
      </w:r>
      <w:r>
        <w:t xml:space="preserve"> </w:t>
      </w:r>
      <w:r>
        <w:t xml:space="preserve">the effective vocabulary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q:dispersion">
        <w:r>
          <w:rPr>
            <w:rStyle w:val="Hyperlink"/>
          </w:rPr>
          <w:t xml:space="preserve">[eq:dispersion]</w:t>
        </w:r>
      </w:hyperlink>
      <w:r>
        <w:t xml:space="preserve">. Fig. </w:t>
      </w:r>
      <w:hyperlink w:anchor="fig:dispersion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plots F-15 against</w:t>
      </w:r>
      <w:r>
        <w:t xml:space="preserve"> </w:t>
      </w:r>
      <w:r>
        <w:t xml:space="preserve">the per-topic mean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sSub>
          <m:e>
            <m:r>
              <m:t>ϕ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 with point colour keyed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|</m:t>
        </m:r>
        <m:r>
          <m:rPr>
            <m:scr m:val="script"/>
            <m:sty m:val="p"/>
          </m:rPr>
          <m:t>V</m:t>
        </m:r>
        <m:r>
          <m:rPr>
            <m:sty m:val="p"/>
          </m:rPr>
          <m:t>|</m:t>
        </m:r>
      </m:oMath>
      <w:r>
        <w:t xml:space="preserve">. The decisive comparison is the three</w:t>
      </w:r>
      <w:r>
        <w:t xml:space="preserve"> </w:t>
      </w:r>
      <w:r>
        <w:t xml:space="preserve">recipes whose alphabets are the same size (mean nominal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V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1376</m:t>
        </m:r>
      </m:oMath>
      <w:r>
        <w:t xml:space="preserve">; V3 and V20 share the</w:t>
      </w:r>
      <w:r>
        <w:t xml:space="preserve"> </w:t>
      </w:r>
      <w:r>
        <w:rPr>
          <w:i/>
          <w:iCs/>
        </w:rPr>
        <w:t xml:space="preserve">identical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d</m:t>
        </m:r>
        <m:r>
          <m:rPr>
            <m:sty m:val="p"/>
          </m:rPr>
          <m:t>,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alphabet, V12 a same-sized GMM-token</w:t>
      </w:r>
      <w:r>
        <w:t xml:space="preserve"> </w:t>
      </w:r>
      <w:r>
        <w:t xml:space="preserve">one), so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V</m:t>
        </m:r>
        <m:r>
          <m:rPr>
            <m:sty m:val="p"/>
          </m:rPr>
          <m:t>|</m:t>
        </m:r>
      </m:oMath>
      <w:r>
        <w:t xml:space="preserve"> </w:t>
      </w:r>
      <w:r>
        <w:t xml:space="preserve">is held fixed by construction: V3, V12 and</w:t>
      </w:r>
      <w:r>
        <w:t xml:space="preserve"> </w:t>
      </w:r>
      <w:r>
        <w:t xml:space="preserve">V20. Their topic-word dispersions fall</w:t>
      </w:r>
      <w:r>
        <w:t xml:space="preserve"> </w:t>
      </w:r>
      <m:oMath>
        <m:sSubSup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  <m:sup>
            <m:r>
              <m:rPr>
                <m:sty m:val="p"/>
              </m:rPr>
              <m:t>V</m:t>
            </m:r>
            <m:r>
              <m:t>3</m:t>
            </m:r>
          </m:sup>
        </m:sSubSup>
        <m:r>
          <m:rPr>
            <m:sty m:val="p"/>
          </m:rPr>
          <m:t>=</m:t>
        </m:r>
        <m:r>
          <m:t>431</m:t>
        </m:r>
        <m:r>
          <m:rPr>
            <m:sty m:val="p"/>
          </m:rPr>
          <m:t>&gt;</m:t>
        </m:r>
        <m:sSubSup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  <m:sup>
            <m:r>
              <m:rPr>
                <m:sty m:val="p"/>
              </m:rPr>
              <m:t>V</m:t>
            </m:r>
            <m:r>
              <m:t>12</m:t>
            </m:r>
          </m:sup>
        </m:sSubSup>
        <m:r>
          <m:rPr>
            <m:sty m:val="p"/>
          </m:rPr>
          <m:t>=</m:t>
        </m:r>
        <m:r>
          <m:t>400</m:t>
        </m:r>
        <m:r>
          <m:rPr>
            <m:sty m:val="p"/>
          </m:rPr>
          <m:t>&gt;</m:t>
        </m:r>
        <m:sSubSup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  <m:sup>
            <m:r>
              <m:rPr>
                <m:sty m:val="p"/>
              </m:rPr>
              <m:t>V</m:t>
            </m:r>
            <m:r>
              <m:t>20</m:t>
            </m:r>
          </m:sup>
        </m:sSubSup>
        <m:r>
          <m:rPr>
            <m:sty m:val="p"/>
          </m:rPr>
          <m:t>=</m:t>
        </m:r>
        <m:r>
          <m:t>309</m:t>
        </m:r>
      </m:oMath>
      <w:r>
        <w:t xml:space="preserve">, and F-15</w:t>
      </w:r>
      <w:r>
        <w:t xml:space="preserve"> </w:t>
      </w:r>
      <w:r>
        <w:rPr>
          <w:i/>
          <w:iCs/>
        </w:rPr>
        <w:t xml:space="preserve">rises</w:t>
      </w:r>
      <w:r>
        <w:t xml:space="preserve"> </w:t>
      </w:r>
      <w:r>
        <w:t xml:space="preserve">in</w:t>
      </w:r>
      <w:r>
        <w:t xml:space="preserve"> </w:t>
      </w:r>
      <w:r>
        <w:t xml:space="preserve">lock-step (</w:t>
      </w:r>
      <m:oMath>
        <m:r>
          <m:t>0.117</m:t>
        </m:r>
        <m:r>
          <m:rPr>
            <m:sty m:val="p"/>
          </m:rPr>
          <m:t>&lt;</m:t>
        </m:r>
        <m:r>
          <m:t>0.158</m:t>
        </m:r>
        <m:r>
          <m:rPr>
            <m:sty m:val="p"/>
          </m:rPr>
          <m:t>&lt;</m:t>
        </m:r>
        <m:r>
          <m:t>0.642</m:t>
        </m:r>
      </m:oMath>
      <w:r>
        <w:t xml:space="preserve">). Because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V</m:t>
        </m:r>
        <m:r>
          <m:rPr>
            <m:sty m:val="p"/>
          </m:rPr>
          <m:t>|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constant across these three, the only thing that can be driving the</w:t>
      </w:r>
      <w:r>
        <w:t xml:space="preserve"> </w:t>
      </w:r>
      <m:oMath>
        <m:r>
          <m:t>5.5</m:t>
        </m:r>
        <m:r>
          <m:rPr>
            <m:sty m:val="p"/>
          </m:rPr>
          <m:t>×</m:t>
        </m:r>
      </m:oMath>
      <w:r>
        <w:t xml:space="preserve"> </w:t>
      </w:r>
      <w:r>
        <w:t xml:space="preserve">spread in F-15 is the dispersion of the topic mass: V20’s</w:t>
      </w:r>
      <w:r>
        <w:t xml:space="preserve"> </w:t>
      </w:r>
      <w:r>
        <w:t xml:space="preserve">MI-weighting (</w:t>
      </w:r>
      <w:hyperlink w:anchor="eq:v20">
        <w:r>
          <w:rPr>
            <w:rStyle w:val="Hyperlink"/>
          </w:rPr>
          <w:t xml:space="preserve">[eq:v20]</w:t>
        </w:r>
      </w:hyperlink>
      <w:r>
        <w:t xml:space="preserve">) concentrates the topic–word</w:t>
      </w:r>
      <w:r>
        <w:t xml:space="preserve"> </w:t>
      </w:r>
      <w:r>
        <w:t xml:space="preserve">distributions on the discriminative high-MI bands, lowering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and raising the probability that a topic’s top-10</w:t>
      </w:r>
      <w:r>
        <w:t xml:space="preserve"> </w:t>
      </w:r>
      <w:r>
        <w:t xml:space="preserve">overlaps a document’s top-10; V12’s GMM tokens and V3’s joint</w:t>
      </w:r>
      <w:r>
        <w:t xml:space="preserve"> </w:t>
      </w:r>
      <w:r>
        <w:t xml:space="preserve">(band, bin) tokens spread their</w:t>
      </w:r>
      <w:r>
        <w:t xml:space="preserve"> </w:t>
      </w:r>
      <m:oMath>
        <m:r>
          <m:rPr>
            <m:sty m:val="p"/>
          </m:rPr>
          <m:t>≈</m:t>
        </m:r>
        <m:r>
          <m:t>1376</m:t>
        </m:r>
      </m:oMath>
      <w:r>
        <w:t xml:space="preserve">-token mass much more</w:t>
      </w:r>
      <w:r>
        <w:t xml:space="preserve"> </w:t>
      </w:r>
      <w:r>
        <w:t xml:space="preserve">thinly, so top-10 overlap is rare even when the topics are coherent. With a</w:t>
      </w:r>
      <w:r>
        <w:t xml:space="preserve"> </w:t>
      </w:r>
      <w:r>
        <w:t xml:space="preserve">small vocabulary (V2,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V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8</m:t>
        </m:r>
      </m:oMath>
      <w:r>
        <w:t xml:space="preserve">) the top-10 of a topic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entire vocabulary, so overlap is guaranteed — the</w:t>
      </w:r>
      <w:r>
        <w:t xml:space="preserve"> </w:t>
      </w:r>
      <w:r>
        <w:t xml:space="preserve">small-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V</m:t>
        </m:r>
        <m:r>
          <m:rPr>
            <m:sty m:val="p"/>
          </m:rPr>
          <m:t>|</m:t>
        </m:r>
      </m:oMath>
      <w:r>
        <w:t xml:space="preserve"> </w:t>
      </w:r>
      <w:r>
        <w:t xml:space="preserve">saturation is itself just the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|</m:t>
        </m:r>
        <m:r>
          <m:rPr>
            <m:scr m:val="script"/>
            <m:sty m:val="p"/>
          </m:rPr>
          <m:t>V</m:t>
        </m:r>
        <m:r>
          <m:rPr>
            <m:sty m:val="p"/>
          </m:rPr>
          <m:t>|</m:t>
        </m:r>
      </m:oMath>
      <w:r>
        <w:t xml:space="preserve"> </w:t>
      </w:r>
      <w:r>
        <w:t xml:space="preserve">floor of the same dispersion mechanism.</w:t>
      </w:r>
    </w:p>
    <w:p>
      <w:pPr>
        <w:pStyle w:val="BodyText"/>
      </w:pPr>
      <w:r>
        <w:t xml:space="preserve">A defensible F-15 would normalise by the expected overlap under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-matched random tokens, or use a semantic embedding</w:t>
      </w:r>
      <w:r>
        <w:t xml:space="preserve"> </w:t>
      </w:r>
      <w:r>
        <w:t xml:space="preserve">distance between token identifiers rather than identity matching. We</w:t>
      </w:r>
      <w:r>
        <w:t xml:space="preserve"> </w:t>
      </w:r>
      <w:r>
        <w:t xml:space="preserve">flag both as future work and recommend interpreting</w:t>
      </w:r>
      <w:r>
        <w:t xml:space="preserve"> </w:t>
      </w:r>
      <w:r>
        <w:t xml:space="preserve">Table </w:t>
      </w:r>
      <w:hyperlink w:anchor="tab:f15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alongside the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axis of</w:t>
      </w:r>
      <w:r>
        <w:t xml:space="preserve"> </w:t>
      </w:r>
      <w:r>
        <w:t xml:space="preserve">Fig. </w:t>
      </w:r>
      <w:hyperlink w:anchor="fig:dispersion">
        <w:r>
          <w:rPr>
            <w:rStyle w:val="Hyperlink"/>
          </w:rPr>
          <w:t xml:space="preserve">1</w:t>
        </w:r>
      </w:hyperlink>
      <w:r>
        <w:t xml:space="preserve">, not the raw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V</m:t>
        </m:r>
        <m:r>
          <m:rPr>
            <m:sty m:val="p"/>
          </m:rPr>
          <m:t>|</m:t>
        </m:r>
      </m:oMath>
      <w:r>
        <w:t xml:space="preserve"> </w:t>
      </w:r>
      <w:r>
        <w:t xml:space="preserve">column.</w:t>
      </w:r>
    </w:p>
    <w:bookmarkStart w:id="24" w:name="fig:dispersion"/>
    <w:p>
      <w:pPr>
        <w:pStyle w:val="CaptionedFigure"/>
      </w:pPr>
      <w:r>
        <w:drawing>
          <wp:inline>
            <wp:extent cx="4749800" cy="3556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p5-dispersion-scatter.pdf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98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Mechanism plot. F-15 LLM-judge alignment versus per-topic mean</w:t>
      </w:r>
      <w:r>
        <w:t xml:space="preserve"> </w:t>
      </w:r>
      <w:r>
        <w:t xml:space="preserve">token-mass dispersion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sSub>
          <m:e>
            <m:r>
              <m:t>ϕ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q:dispersion">
        <w:r>
          <w:rPr>
            <w:rStyle w:val="Hyperlink"/>
          </w:rPr>
          <w:t xml:space="preserve">[eq:dispersion]</w:t>
        </w:r>
      </w:hyperlink>
      <w:r>
        <w:t xml:space="preserve">), LDA backbone, six labelled scenes,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Point colour encodes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|</m:t>
        </m:r>
        <m:r>
          <m:rPr>
            <m:scr m:val="script"/>
            <m:sty m:val="p"/>
          </m:rPr>
          <m:t>V</m:t>
        </m:r>
        <m:r>
          <m:rPr>
            <m:sty m:val="p"/>
          </m:rPr>
          <m:t>|</m:t>
        </m:r>
      </m:oMath>
      <w:r>
        <w:t xml:space="preserve">. At the same alphabet</w:t>
      </w:r>
      <w:r>
        <w:t xml:space="preserve"> </w:t>
      </w:r>
      <w:r>
        <w:t xml:space="preserve">size (mean nominal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V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1376</m:t>
        </m:r>
      </m:oMath>
      <w:r>
        <w:t xml:space="preserve">), V3 / V12 / V20 (yellow,</w:t>
      </w:r>
      <w:r>
        <w:t xml:space="preserve"> </w:t>
      </w:r>
      <w:r>
        <w:t xml:space="preserve">lower-right cluster) fall in dispersion (</w:t>
      </w:r>
      <m:oMath>
        <m:r>
          <m:t>431</m:t>
        </m:r>
        <m:r>
          <m:t>​</m:t>
        </m:r>
        <m:r>
          <m:rPr>
            <m:sty m:val="p"/>
          </m:rPr>
          <m:t>&gt;</m:t>
        </m:r>
        <m:r>
          <m:t>​</m:t>
        </m:r>
        <m:r>
          <m:t>400</m:t>
        </m:r>
        <m:r>
          <m:t>​</m:t>
        </m:r>
        <m:r>
          <m:rPr>
            <m:sty m:val="p"/>
          </m:rPr>
          <m:t>&gt;</m:t>
        </m:r>
        <m:r>
          <m:t>​</m:t>
        </m:r>
        <m:r>
          <m:t>309</m:t>
        </m:r>
      </m:oMath>
      <w:r>
        <w:t xml:space="preserve">) exactly</w:t>
      </w:r>
      <w:r>
        <w:t xml:space="preserve"> </w:t>
      </w:r>
      <w:r>
        <w:t xml:space="preserve">as F-15 rises (</w:t>
      </w:r>
      <m:oMath>
        <m:r>
          <m:t>0.12</m:t>
        </m:r>
        <m:r>
          <m:t>​</m:t>
        </m:r>
        <m:r>
          <m:rPr>
            <m:sty m:val="p"/>
          </m:rPr>
          <m:t>&lt;</m:t>
        </m:r>
        <m:r>
          <m:t>​</m:t>
        </m:r>
        <m:r>
          <m:t>0.16</m:t>
        </m:r>
        <m:r>
          <m:t>​</m:t>
        </m:r>
        <m:r>
          <m:rPr>
            <m:sty m:val="p"/>
          </m:rPr>
          <m:t>&lt;</m:t>
        </m:r>
        <m:r>
          <m:t>​</m:t>
        </m:r>
        <m:r>
          <m:t>0.64</m:t>
        </m:r>
      </m:oMath>
      <w:r>
        <w:t xml:space="preserve">): F-15 tracks dispersion, not</w:t>
      </w:r>
      <w:r>
        <w:t xml:space="preserve"> </w:t>
      </w:r>
      <w:r>
        <w:t xml:space="preserve">cardinality.</w:t>
      </w:r>
    </w:p>
    <w:bookmarkEnd w:id="24"/>
    <w:bookmarkStart w:id="28" w:name="fig:f15vocab"/>
    <w:p>
      <w:pPr>
        <w:pStyle w:val="CaptionedFigure"/>
      </w:pPr>
      <w:r>
        <w:drawing>
          <wp:inline>
            <wp:extent cx="4749800" cy="355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p5-f15-vocab.pdf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98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Refutation plot. F-15 versus nominal vocabulary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V</m:t>
        </m:r>
        <m:r>
          <m:rPr>
            <m:sty m:val="p"/>
          </m:rPr>
          <m:t>|</m:t>
        </m:r>
      </m:oMath>
      <w:r>
        <w:t xml:space="preserve"> </w:t>
      </w:r>
      <w:r>
        <w:t xml:space="preserve">(log scale). A pure vocabulary-size artefact would</w:t>
      </w:r>
      <w:r>
        <w:t xml:space="preserve"> </w:t>
      </w:r>
      <w:r>
        <w:t xml:space="preserve">place all points on a monotone decreasing curve. The circled</w:t>
      </w:r>
      <w:r>
        <w:t xml:space="preserve"> </w:t>
      </w:r>
      <w:r>
        <w:t xml:space="preserve">counterexamples V14 (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V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1024</m:t>
        </m:r>
      </m:oMath>
      <w:r>
        <w:t xml:space="preserve">, F-15</w:t>
      </w:r>
      <w:r>
        <w:t xml:space="preserve"> </w:t>
      </w:r>
      <m:oMath>
        <m:r>
          <m:rPr>
            <m:sty m:val="p"/>
          </m:rPr>
          <m:t>=</m:t>
        </m:r>
        <m:r>
          <m:t>0.95</m:t>
        </m:r>
      </m:oMath>
      <w:r>
        <w:t xml:space="preserve">) and V20</w:t>
      </w:r>
      <w:r>
        <w:t xml:space="preserve"> </w:t>
      </w:r>
      <w:r>
        <w:t xml:space="preserve">(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V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1376</m:t>
        </m:r>
      </m:oMath>
      <w:r>
        <w:t xml:space="preserve">, F-15</w:t>
      </w:r>
      <w:r>
        <w:t xml:space="preserve"> </w:t>
      </w:r>
      <m:oMath>
        <m:r>
          <m:rPr>
            <m:sty m:val="p"/>
          </m:rPr>
          <m:t>=</m:t>
        </m:r>
        <m:r>
          <m:t>0.64</m:t>
        </m:r>
      </m:oMath>
      <w:r>
        <w:t xml:space="preserve">), together with V9</w:t>
      </w:r>
      <w:r>
        <w:t xml:space="preserve"> </w:t>
      </w:r>
      <w:r>
        <w:t xml:space="preserve">(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V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647</m:t>
        </m:r>
      </m:oMath>
      <w:r>
        <w:t xml:space="preserve">, F-15</w:t>
      </w:r>
      <w:r>
        <w:t xml:space="preserve"> </w:t>
      </w:r>
      <m:oMath>
        <m:r>
          <m:rPr>
            <m:sty m:val="p"/>
          </m:rPr>
          <m:t>=</m:t>
        </m:r>
        <m:r>
          <m:t>1.0</m:t>
        </m:r>
      </m:oMath>
      <w:r>
        <w:t xml:space="preserve">), sit far above V3 / V12 at equal or</w:t>
      </w:r>
      <w:r>
        <w:t xml:space="preserve"> </w:t>
      </w:r>
      <w:r>
        <w:t xml:space="preserve">larger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V</m:t>
        </m:r>
        <m:r>
          <m:rPr>
            <m:sty m:val="p"/>
          </m:rPr>
          <m:t>|</m:t>
        </m:r>
      </m:oMath>
      <w:r>
        <w:t xml:space="preserve">, refuting the cardinality hypothesis.</w:t>
      </w:r>
    </w:p>
    <w:bookmarkEnd w:id="28"/>
    <w:bookmarkEnd w:id="29"/>
    <w:bookmarkStart w:id="35" w:name="sec:v13-v20-interp"/>
    <w:p>
      <w:pPr>
        <w:pStyle w:val="Heading1"/>
      </w:pPr>
      <w:r>
        <w:t xml:space="preserve">Interpretability under the V13–V20 extension</w:t>
      </w:r>
    </w:p>
    <w:p>
      <w:pPr>
        <w:pStyle w:val="FirstParagraph"/>
      </w:pPr>
      <w:r>
        <w:t xml:space="preserve">The V13–V20 recipes added in the P3 extension introduce three new</w:t>
      </w:r>
      <w:r>
        <w:t xml:space="preserve"> </w:t>
      </w:r>
      <w:r>
        <w:t xml:space="preserve">interpretability profiles that complicate the V1–V12 story.</w:t>
      </w:r>
    </w:p>
    <w:bookmarkStart w:id="30" w:name="X2cc13b4145efe3aae177297797500ffbabfe79e"/>
    <w:p>
      <w:pPr>
        <w:pStyle w:val="Heading4"/>
      </w:pPr>
      <w:r>
        <w:t xml:space="preserve">V13 (VQ-VAE codebook) and V17 (sparse-coding dictionary).</w:t>
      </w:r>
    </w:p>
    <w:p>
      <w:pPr>
        <w:pStyle w:val="FirstParagraph"/>
      </w:pPr>
      <w:r>
        <w:t xml:space="preserve">Both recipes produce</w:t>
      </w:r>
      <w:r>
        <w:t xml:space="preserve"> </w:t>
      </w:r>
      <w:r>
        <w:rPr>
          <w:i/>
          <w:iCs/>
        </w:rPr>
        <w:t xml:space="preserve">opaque token alphabets</w:t>
      </w:r>
      <w:r>
        <w:t xml:space="preserve">: the codeword</w:t>
      </w:r>
      <w:r>
        <w:t xml:space="preserve"> </w:t>
      </w:r>
      <w:r>
        <w:t xml:space="preserve">index does not map to a wavelength, an absorption feature, or a</w:t>
      </w:r>
      <w:r>
        <w:t xml:space="preserve"> </w:t>
      </w:r>
      <w:r>
        <w:t xml:space="preserve">band group. F-13 SHAP under V13 surfaces the same top codewords</w:t>
      </w:r>
      <w:r>
        <w:t xml:space="preserve"> </w:t>
      </w:r>
      <w:r>
        <w:t xml:space="preserve">across topics (the codebook is shared across all classes during</w:t>
      </w:r>
      <w:r>
        <w:t xml:space="preserve"> </w:t>
      </w:r>
      <w:r>
        <w:t xml:space="preserve">training), and a domain expert cannot translate those codewords into</w:t>
      </w:r>
      <w:r>
        <w:t xml:space="preserve"> </w:t>
      </w:r>
      <w:r>
        <w:t xml:space="preserve">spectral semantics without a separate decoder visualisation. We</w:t>
      </w:r>
      <w:r>
        <w:t xml:space="preserve"> </w:t>
      </w:r>
      <w:r>
        <w:t xml:space="preserve">classify V13 / V17 as the</w:t>
      </w:r>
      <w:r>
        <w:t xml:space="preserve"> </w:t>
      </w:r>
      <w:r>
        <w:rPr>
          <w:i/>
          <w:iCs/>
        </w:rPr>
        <w:t xml:space="preserve">lowest-interpretability</w:t>
      </w:r>
      <w:r>
        <w:t xml:space="preserve"> </w:t>
      </w:r>
      <w:r>
        <w:t xml:space="preserve">branch of</w:t>
      </w:r>
      <w:r>
        <w:t xml:space="preserve"> </w:t>
      </w:r>
      <w:r>
        <w:t xml:space="preserve">the sweep: even when their F-13 SHAP is reportable, the explanation</w:t>
      </w:r>
      <w:r>
        <w:t xml:space="preserve"> </w:t>
      </w:r>
      <w:r>
        <w:t xml:space="preserve">is recursive —</w:t>
      </w:r>
      <w:r>
        <w:t xml:space="preserve"> </w:t>
      </w:r>
      <w:r>
        <w:t xml:space="preserve">“topic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dominated by codeword</w:t>
      </w:r>
      <w:r>
        <w:t xml:space="preserve"> </w:t>
      </w:r>
      <m:oMath>
        <m:r>
          <m:t>c</m:t>
        </m:r>
      </m:oMath>
      <w:r>
        <w:t xml:space="preserve">, where</w:t>
      </w:r>
      <w:r>
        <w:t xml:space="preserve"> </w:t>
      </w:r>
      <w:r>
        <w:t xml:space="preserve">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centroid of pixels with [unrecoverable from</w:t>
      </w:r>
      <w:r>
        <w:t xml:space="preserve"> </w:t>
      </w:r>
      <w:r>
        <w:t xml:space="preserve">the recipe alone]”</w:t>
      </w:r>
      <w:r>
        <w:t xml:space="preserve">.</w:t>
      </w:r>
    </w:p>
    <w:bookmarkEnd w:id="30"/>
    <w:bookmarkStart w:id="31" w:name="v14-cwt-morlet-and-v18-graph-laplacian."/>
    <w:p>
      <w:pPr>
        <w:pStyle w:val="Heading4"/>
      </w:pPr>
      <w:r>
        <w:t xml:space="preserve">V14 (CWT-Morlet) and V18 (graph-Laplacian).</w:t>
      </w:r>
    </w:p>
    <w:p>
      <w:pPr>
        <w:pStyle w:val="FirstParagraph"/>
      </w:pPr>
      <w:r>
        <w:t xml:space="preserve">The opposite case. V14 tokens are</w:t>
      </w:r>
      <w:r>
        <w:t xml:space="preserve"> </w:t>
      </w:r>
      <w:r>
        <w:rPr>
          <w:rStyle w:val="VerbatimChar"/>
        </w:rPr>
        <w:t xml:space="preserve">(log_scale_idx, position_bucket)</w:t>
      </w:r>
      <w:r>
        <w:t xml:space="preserve">; each pair maps to a</w:t>
      </w:r>
      <w:r>
        <w:t xml:space="preserve"> </w:t>
      </w:r>
      <w:r>
        <w:t xml:space="preserve">specific spectral region at a specific bandwidth. F-13 SHAP under</w:t>
      </w:r>
      <w:r>
        <w:t xml:space="preserve"> </w:t>
      </w:r>
      <w:r>
        <w:t xml:space="preserve">V14 surfaces tokens that are physically interpretable as</w:t>
      </w:r>
      <w:r>
        <w:t xml:space="preserve"> </w:t>
      </w:r>
      <w:r>
        <w:t xml:space="preserve">“absorption around 660 nm with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30 nm bandwidth”</w:t>
      </w:r>
      <w:r>
        <w:t xml:space="preserve">. V18</w:t>
      </w:r>
      <w:r>
        <w:t xml:space="preserve"> </w:t>
      </w:r>
      <w:r>
        <w:t xml:space="preserve">tokens are</w:t>
      </w:r>
      <w:r>
        <w:t xml:space="preserve"> </w:t>
      </w:r>
      <w:r>
        <w:rPr>
          <w:rStyle w:val="VerbatimChar"/>
        </w:rPr>
        <w:t xml:space="preserve">(eigenvector_id, bin)</w:t>
      </w:r>
      <w:r>
        <w:t xml:space="preserve">; the eigenvector index</w:t>
      </w:r>
      <w:r>
        <w:t xml:space="preserve"> </w:t>
      </w:r>
      <w:r>
        <w:t xml:space="preserve">maps to a connected-region of the kNN graph and the bin maps to</w:t>
      </w:r>
      <w:r>
        <w:t xml:space="preserve"> </w:t>
      </w:r>
      <w:r>
        <w:t xml:space="preserve">position along that eigenvector. F-13 SHAP under V18 surfaces</w:t>
      </w:r>
      <w:r>
        <w:t xml:space="preserve"> </w:t>
      </w:r>
      <w:r>
        <w:t xml:space="preserve">topics whose top tokens lie on the same low-frequency Laplacian</w:t>
      </w:r>
      <w:r>
        <w:t xml:space="preserve"> </w:t>
      </w:r>
      <w:r>
        <w:t xml:space="preserve">mode — interpretable as</w:t>
      </w:r>
      <w:r>
        <w:t xml:space="preserve"> </w:t>
      </w:r>
      <w:r>
        <w:t xml:space="preserve">“this topic concentrates on graph mode</w:t>
      </w:r>
      <w:r>
        <w:t xml:space="preserve"> </w:t>
      </w:r>
      <m:oMath>
        <m:r>
          <m:rPr>
            <m:sty m:val="p"/>
          </m:rPr>
          <m:t>≤</m:t>
        </m:r>
        <m:r>
          <m:t>5</m:t>
        </m:r>
      </m:oMath>
      <w:r>
        <w:t xml:space="preserve">, which corresponds to the connected region containing</w:t>
      </w:r>
      <w:r>
        <w:t xml:space="preserve"> </w:t>
      </w:r>
      <w:r>
        <w:t xml:space="preserve">urban classes”</w:t>
      </w:r>
      <w:r>
        <w:t xml:space="preserve">. Both V14 and V18 thus extend the V1 + V7</w:t>
      </w:r>
      <w:r>
        <w:t xml:space="preserve"> </w:t>
      </w:r>
      <w:r>
        <w:t xml:space="preserve">“physically-grounded”</w:t>
      </w:r>
      <w:r>
        <w:t xml:space="preserve"> </w:t>
      </w:r>
      <w:r>
        <w:t xml:space="preserve">interpretability profile to new domains.</w:t>
      </w:r>
    </w:p>
    <w:bookmarkEnd w:id="31"/>
    <w:bookmarkStart w:id="32" w:name="Xcb6a4ced8393a00cd4aed643dfe5037ceac446a"/>
    <w:p>
      <w:pPr>
        <w:pStyle w:val="Heading4"/>
      </w:pPr>
      <w:r>
        <w:t xml:space="preserve">V19 (UMAP coords) and V15 (spectral indices).</w:t>
      </w:r>
    </w:p>
    <w:p>
      <w:pPr>
        <w:pStyle w:val="FirstParagraph"/>
      </w:pPr>
      <w:r>
        <w:t xml:space="preserve">V15 is the easiest: top tokens of every topic map directly to</w:t>
      </w:r>
      <w:r>
        <w:t xml:space="preserve"> </w:t>
      </w:r>
      <w:r>
        <w:t xml:space="preserve">NDVI / MNDWI / NBR / NDSI / EVI / SAVI bins, with published</w:t>
      </w:r>
      <w:r>
        <w:t xml:space="preserve"> </w:t>
      </w:r>
      <w:r>
        <w:t xml:space="preserve">semantics. V19 has the inverse problem of V13 — token names</w:t>
      </w:r>
      <w:r>
        <w:t xml:space="preserve"> </w:t>
      </w:r>
      <w:r>
        <w:rPr>
          <w:rStyle w:val="VerbatimChar"/>
        </w:rPr>
        <w:t xml:space="preserve">(axis_0, q_bin_03)</w:t>
      </w:r>
      <w:r>
        <w:t xml:space="preserve"> </w:t>
      </w:r>
      <w:r>
        <w:t xml:space="preserve">are abstract coordinates with no</w:t>
      </w:r>
      <w:r>
        <w:t xml:space="preserve"> </w:t>
      </w:r>
      <w:r>
        <w:t xml:space="preserve">spectral anchor. The recipe-fit pair determines interpretability</w:t>
      </w:r>
      <w:r>
        <w:t xml:space="preserve"> </w:t>
      </w:r>
      <w:r>
        <w:t xml:space="preserve">as much as the recipe alone.</w:t>
      </w:r>
    </w:p>
    <w:bookmarkEnd w:id="32"/>
    <w:bookmarkStart w:id="33" w:name="v20-mi-weighted-bands."/>
    <w:p>
      <w:pPr>
        <w:pStyle w:val="Heading4"/>
      </w:pPr>
      <w:r>
        <w:t xml:space="preserve">V20 (MI-weighted bands).</w:t>
      </w:r>
    </w:p>
    <w:p>
      <w:pPr>
        <w:pStyle w:val="FirstParagraph"/>
      </w:pPr>
      <w:r>
        <w:t xml:space="preserve">V20 inherits V1’s interpretability (per-band q-bin tokens are</w:t>
      </w:r>
      <w:r>
        <w:t xml:space="preserve"> </w:t>
      </w:r>
      <w:r>
        <w:t xml:space="preserve">spectrally grounded) and adds a label-aware twist (</w:t>
      </w:r>
      <w:hyperlink w:anchor="eq:v20">
        <w:r>
          <w:rPr>
            <w:rStyle w:val="Hyperlink"/>
          </w:rPr>
          <w:t xml:space="preserve">[eq:v20]</w:t>
        </w:r>
      </w:hyperlink>
      <w:r>
        <w:t xml:space="preserve">):</w:t>
      </w:r>
      <w:r>
        <w:t xml:space="preserve"> </w:t>
      </w:r>
      <w:r>
        <w:t xml:space="preserve">high-MI bands emit more copies than low-MI bands, so the topic</w:t>
      </w:r>
      <w:r>
        <w:t xml:space="preserve"> </w:t>
      </w:r>
      <w:r>
        <w:t xml:space="preserve">top-tokens concentrate on the discriminative subspectrum. F-13 SHAP</w:t>
      </w:r>
      <w:r>
        <w:t xml:space="preserve"> </w:t>
      </w:r>
      <w:r>
        <w:t xml:space="preserve">under V20 therefore surfaces precisely the bands the label</w:t>
      </w:r>
      <w:r>
        <w:t xml:space="preserve"> </w:t>
      </w:r>
      <w:r>
        <w:t xml:space="preserve">information is concentrated in — the interpretability is the same</w:t>
      </w:r>
      <w:r>
        <w:t xml:space="preserve"> </w:t>
      </w:r>
      <w:r>
        <w:t xml:space="preserve">as V1’s, but the SHAP attributions are sharper because the LDA</w:t>
      </w:r>
      <w:r>
        <w:t xml:space="preserve"> </w:t>
      </w:r>
      <w:r>
        <w:t xml:space="preserve">fit has fewer near-zero-contribution tokens to spread mass across.</w:t>
      </w:r>
      <w:r>
        <w:t xml:space="preserve"> </w:t>
      </w:r>
      <w:r>
        <w:t xml:space="preserve">This is the same mechanism that lowers V20’s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relative to V12 and V3 (§</w:t>
      </w:r>
      <w:hyperlink w:anchor="sec:f15">
        <w:r>
          <w:rPr>
            <w:rStyle w:val="Hyperlink"/>
          </w:rPr>
          <w:t xml:space="preserve">6</w:t>
        </w:r>
      </w:hyperlink>
      <w:r>
        <w:t xml:space="preserve">): the MI-weighting that</w:t>
      </w:r>
      <w:r>
        <w:t xml:space="preserve"> </w:t>
      </w:r>
      <w:r>
        <w:t xml:space="preserve">concentrates SHAP attribution mass is exactly what concentrates the</w:t>
      </w:r>
      <w:r>
        <w:t xml:space="preserve"> </w:t>
      </w:r>
      <w:r>
        <w:t xml:space="preserve">topic–word mass, so V20’s high F-15 (relative to its equal-vocabulary</w:t>
      </w:r>
      <w:r>
        <w:t xml:space="preserve"> </w:t>
      </w:r>
      <w:r>
        <w:t xml:space="preserve">neighbours) and its sharp F-13 attributions are two readings of one</w:t>
      </w:r>
      <w:r>
        <w:t xml:space="preserve"> </w:t>
      </w:r>
      <w:r>
        <w:t xml:space="preserve">property. V20 should be considered the most interpretable of the new</w:t>
      </w:r>
      <w:r>
        <w:t xml:space="preserve"> </w:t>
      </w:r>
      <w:r>
        <w:t xml:space="preserve">recipes: high label signal + grounded vocabulary + no codebook</w:t>
      </w:r>
      <w:r>
        <w:t xml:space="preserve"> </w:t>
      </w:r>
      <w:r>
        <w:t xml:space="preserve">indirection.</w:t>
      </w:r>
    </w:p>
    <w:bookmarkEnd w:id="33"/>
    <w:bookmarkStart w:id="34" w:name="f-22-counterfactual-under-the-extension."/>
    <w:p>
      <w:pPr>
        <w:pStyle w:val="Heading4"/>
      </w:pPr>
      <w:r>
        <w:t xml:space="preserve">F-22 counterfactual under the extension.</w:t>
      </w:r>
    </w:p>
    <w:p>
      <w:pPr>
        <w:pStyle w:val="FirstParagraph"/>
      </w:pPr>
      <w:r>
        <w:t xml:space="preserve">We do not re-run F-22 for every new recipe in this draft; the V20</w:t>
      </w:r>
      <w:r>
        <w:t xml:space="preserve"> </w:t>
      </w:r>
      <w:r>
        <w:t xml:space="preserve">counterfactual L1 ranking under LDA is competitive with V12 (median</w:t>
      </w:r>
      <w:r>
        <w:t xml:space="preserve"> </w:t>
      </w:r>
      <w:r>
        <w:t xml:space="preserve">L1</w:t>
      </w:r>
      <w:r>
        <w:t xml:space="preserve"> </w:t>
      </w:r>
      <m:oMath>
        <m:r>
          <m:rPr>
            <m:sty m:val="p"/>
          </m:rPr>
          <m:t>≥</m:t>
        </m:r>
        <m:r>
          <m:t>15</m:t>
        </m:r>
      </m:oMath>
      <w:r>
        <w:t xml:space="preserve"> </w:t>
      </w:r>
      <w:r>
        <w:t xml:space="preserve">on the labelled scenes where V20 has been profiled),</w:t>
      </w:r>
      <w:r>
        <w:t xml:space="preserve"> </w:t>
      </w:r>
      <w:r>
        <w:t xml:space="preserve">suggesting that label-aware amplification produces topics that are</w:t>
      </w:r>
      <w:r>
        <w:t xml:space="preserve"> </w:t>
      </w:r>
      <w:r>
        <w:t xml:space="preserve">also harder to perturb. A full F-22 (</w:t>
      </w:r>
      <m:oMath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new recipes</w:t>
      </w:r>
      <w:r>
        <w:t xml:space="preserve"> </w:t>
      </w:r>
      <m:oMath>
        <m:r>
          <m:rPr>
            <m:sty m:val="p"/>
          </m:rPr>
          <m:t>×</m:t>
        </m:r>
        <m:r>
          <m:t>6</m:t>
        </m:r>
      </m:oMath>
      <w:r>
        <w:t xml:space="preserve"> </w:t>
      </w:r>
      <w:r>
        <w:t xml:space="preserve">scenes) is left to a follow-up.</w:t>
      </w:r>
    </w:p>
    <w:bookmarkEnd w:id="34"/>
    <w:bookmarkEnd w:id="35"/>
    <w:bookmarkStart w:id="36" w:name="sec:rec"/>
    <w:p>
      <w:pPr>
        <w:pStyle w:val="Heading1"/>
      </w:pPr>
      <w:r>
        <w:t xml:space="preserve">Recommendation</w:t>
      </w:r>
    </w:p>
    <w:p>
      <w:pPr>
        <w:pStyle w:val="FirstParagraph"/>
      </w:pPr>
      <w:r>
        <w:t xml:space="preserve">For interpretability reporting, we recommend the following ordering: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F-13 SHAP attribution.</w:t>
      </w:r>
      <w:r>
        <w:t xml:space="preserve"> </w:t>
      </w:r>
      <w:r>
        <w:t xml:space="preserve">Recipe-grounded, defensible</w:t>
      </w:r>
      <w:r>
        <w:t xml:space="preserve"> </w:t>
      </w:r>
      <w:r>
        <w:t xml:space="preserve">against reviewer pressure, and produces explanations a domain</w:t>
      </w:r>
      <w:r>
        <w:t xml:space="preserve"> </w:t>
      </w:r>
      <w:r>
        <w:t xml:space="preserve">expert can immediately query.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F-22 counterfactual robustness.</w:t>
      </w:r>
      <w:r>
        <w:t xml:space="preserve"> </w:t>
      </w:r>
      <w:r>
        <w:t xml:space="preserve">Complements F-2/F-7</w:t>
      </w:r>
      <w:r>
        <w:t xml:space="preserve"> </w:t>
      </w:r>
      <w:r>
        <w:t xml:space="preserve">by ruling out trivial-overfit explanations.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F-15 LLM-judge.</w:t>
      </w:r>
      <w:r>
        <w:t xml:space="preserve"> </w:t>
      </w:r>
      <w:r>
        <w:t xml:space="preserve">Only after vocabulary-size</w:t>
      </w:r>
      <w:r>
        <w:t xml:space="preserve"> </w:t>
      </w:r>
      <w:r>
        <w:t xml:space="preserve">normalisation. Without normalisation it rewards trivial recipes.</w:t>
      </w:r>
    </w:p>
    <w:p>
      <w:pPr>
        <w:pStyle w:val="FirstParagraph"/>
      </w:pPr>
      <w:r>
        <w:t xml:space="preserve">The V13–V20 extension (§</w:t>
      </w:r>
      <w:hyperlink w:anchor="sec:v13-v20-interp">
        <w:r>
          <w:rPr>
            <w:rStyle w:val="Hyperlink"/>
          </w:rPr>
          <w:t xml:space="preserve">7</w:t>
        </w:r>
      </w:hyperlink>
      <w:r>
        <w:t xml:space="preserve">) further suggests</w:t>
      </w:r>
      <w:r>
        <w:t xml:space="preserve"> </w:t>
      </w:r>
      <w:r>
        <w:t xml:space="preserve">a recipe-as-interpretability-tier classification: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Tier I (physically-grounded)</w:t>
      </w:r>
      <w:r>
        <w:t xml:space="preserve">: V1, V7, V14, V18, V20.</w:t>
      </w:r>
      <w:r>
        <w:t xml:space="preserve"> </w:t>
      </w:r>
      <w:r>
        <w:t xml:space="preserve">Top SHAP tokens map to a wavelength, absorption feature, scale</w:t>
      </w:r>
      <w:r>
        <w:t xml:space="preserve"> </w:t>
      </w:r>
      <w:r>
        <w:t xml:space="preserve">band, manifold mode, or label-weighted band. Use for any</w:t>
      </w:r>
      <w:r>
        <w:t xml:space="preserve"> </w:t>
      </w:r>
      <w:r>
        <w:t xml:space="preserve">publishable interpretability claim.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Tier II (semantically-grounded)</w:t>
      </w:r>
      <w:r>
        <w:t xml:space="preserve">: V8, V10, V15.</w:t>
      </w:r>
      <w:r>
        <w:t xml:space="preserve"> </w:t>
      </w:r>
      <w:r>
        <w:t xml:space="preserve">Top tokens map to endmember labels, group labels, or vegetation</w:t>
      </w:r>
      <w:r>
        <w:t xml:space="preserve"> </w:t>
      </w:r>
      <w:r>
        <w:t xml:space="preserve">indices.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Tier III (learnt-codebook-grounded)</w:t>
      </w:r>
      <w:r>
        <w:t xml:space="preserve">: V11, V12, V13,</w:t>
      </w:r>
      <w:r>
        <w:t xml:space="preserve"> </w:t>
      </w:r>
      <w:r>
        <w:t xml:space="preserve">V17. Top tokens are codewords / GMM components / dictionary atoms.</w:t>
      </w:r>
      <w:r>
        <w:t xml:space="preserve"> </w:t>
      </w:r>
      <w:r>
        <w:t xml:space="preserve">Interpretable only via a separate codebook-decoder visualisation.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Tier IV (abstract-coordinate)</w:t>
      </w:r>
      <w:r>
        <w:t xml:space="preserve">: V19. Topics point to</w:t>
      </w:r>
      <w:r>
        <w:t xml:space="preserve"> </w:t>
      </w:r>
      <w:r>
        <w:t xml:space="preserve">UMAP coordinates with no spectral anchor. Use only as a sanity</w:t>
      </w:r>
      <w:r>
        <w:t xml:space="preserve"> </w:t>
      </w:r>
      <w:r>
        <w:t xml:space="preserve">baseline.</w:t>
      </w:r>
    </w:p>
    <w:bookmarkEnd w:id="36"/>
    <w:bookmarkStart w:id="37" w:name="sec: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b/>
          <w:bCs/>
        </w:rPr>
        <w:t xml:space="preserve">The three axes are complementary, not redundant.</w:t>
      </w:r>
      <w:r>
        <w:t xml:space="preserve"> </w:t>
      </w:r>
      <w:r>
        <w:t xml:space="preserve">F-13, F-22</w:t>
      </w:r>
      <w:r>
        <w:t xml:space="preserve"> </w:t>
      </w:r>
      <w:r>
        <w:t xml:space="preserve">and F-15 probe different facets of the same LDA fit. F-13 answers</w:t>
      </w:r>
      <w:r>
        <w:t xml:space="preserve"> </w:t>
      </w:r>
      <w:r>
        <w:rPr>
          <w:i/>
          <w:iCs/>
        </w:rPr>
        <w:t xml:space="preserve">which tokens explain a topic assignment</w:t>
      </w:r>
      <w:r>
        <w:t xml:space="preserve">; F-22 answers</w:t>
      </w:r>
      <w:r>
        <w:t xml:space="preserve"> </w:t>
      </w:r>
      <w:r>
        <w:rPr>
          <w:i/>
          <w:iCs/>
        </w:rPr>
        <w:t xml:space="preserve">how robust that assignment is</w:t>
      </w:r>
      <w:r>
        <w:t xml:space="preserve">; F-15 answers</w:t>
      </w:r>
      <w:r>
        <w:t xml:space="preserve"> </w:t>
      </w:r>
      <w:r>
        <w:rPr>
          <w:i/>
          <w:iCs/>
        </w:rPr>
        <w:t xml:space="preserve">whether a</w:t>
      </w:r>
      <w:r>
        <w:rPr>
          <w:i/>
          <w:iCs/>
        </w:rPr>
        <w:t xml:space="preserve"> </w:t>
      </w:r>
      <w:r>
        <w:rPr>
          <w:i/>
          <w:iCs/>
        </w:rPr>
        <w:t xml:space="preserve">human-like judge would agree the document belongs to its topic</w:t>
      </w:r>
      <w:r>
        <w:t xml:space="preserve">. The</w:t>
      </w:r>
      <w:r>
        <w:t xml:space="preserve"> </w:t>
      </w:r>
      <w:r>
        <w:t xml:space="preserve">V20 recipe illustrates how they cohere: its MI-weighting concentrates</w:t>
      </w:r>
      <w:r>
        <w:t xml:space="preserve"> </w:t>
      </w:r>
      <w:r>
        <w:t xml:space="preserve">both SHAP attribution mass (sharper F-13) and topic–word mass (lower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, hence higher F-15 at fixed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V</m:t>
        </m:r>
        <m:r>
          <m:rPr>
            <m:sty m:val="p"/>
          </m:rPr>
          <m:t>|</m:t>
        </m:r>
      </m:oMath>
      <w:r>
        <w:t xml:space="preserve">), and</w:t>
      </w:r>
      <w:r>
        <w:t xml:space="preserve"> </w:t>
      </w:r>
      <w:r>
        <w:t xml:space="preserve">the same concentration makes its topics the hardest to flip</w:t>
      </w:r>
      <w:r>
        <w:t xml:space="preserve"> </w:t>
      </w:r>
      <w:r>
        <w:t xml:space="preserve">(F-22</w:t>
      </w:r>
      <w:r>
        <w:t xml:space="preserve"> </w:t>
      </w:r>
      <m:oMath>
        <m:r>
          <m:rPr>
            <m:sty m:val="p"/>
          </m:rPr>
          <m:t>=</m:t>
        </m:r>
        <m:r>
          <m:t>26.3</m:t>
        </m:r>
      </m:oMath>
      <w:r>
        <w:t xml:space="preserve">, the sweep maximum). This is consistent with P3’s</w:t>
      </w:r>
      <w:r>
        <w:t xml:space="preserve"> </w:t>
      </w:r>
      <w:r>
        <w:t xml:space="preserve">finding that V20 leads F-2 / F-7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32</m:t>
        </m:r>
      </m:oMath>
      <w:r>
        <w:t xml:space="preserve">: a basis that concentrates</w:t>
      </w:r>
      <w:r>
        <w:t xml:space="preserve"> </w:t>
      </w:r>
      <w:r>
        <w:t xml:space="preserve">discriminative mass is simultaneously more coherent, more robust, and</w:t>
      </w:r>
      <w:r>
        <w:t xml:space="preserve"> </w:t>
      </w:r>
      <w:r>
        <w:t xml:space="preserve">more attributable.</w:t>
      </w:r>
    </w:p>
    <w:p>
      <w:pPr>
        <w:pStyle w:val="BodyText"/>
      </w:pPr>
      <w:r>
        <w:rPr>
          <w:b/>
          <w:bCs/>
        </w:rPr>
        <w:t xml:space="preserve">F-15 measures the metric, not the model.</w:t>
      </w:r>
      <w:r>
        <w:t xml:space="preserve"> </w:t>
      </w:r>
      <w:r>
        <w:t xml:space="preserve">The central</w:t>
      </w:r>
      <w:r>
        <w:t xml:space="preserve"> </w:t>
      </w:r>
      <w:r>
        <w:t xml:space="preserve">methodological lesson is that an automated alignment proxy can fail</w:t>
      </w:r>
      <w:r>
        <w:t xml:space="preserve"> </w:t>
      </w:r>
      <w:r>
        <w:t xml:space="preserve">for reasons that have nothing to do with topic quality. The</w:t>
      </w:r>
      <w:r>
        <w:t xml:space="preserve"> </w:t>
      </w:r>
      <w:r>
        <w:t xml:space="preserve">anti-correlation between F-15 and F-2 on V3 / V12 is not evidence that</w:t>
      </w:r>
      <w:r>
        <w:t xml:space="preserve"> </w:t>
      </w:r>
      <w:r>
        <w:t xml:space="preserve">those recipes produce incoherent topics — P3 ranks V12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on F-2 and F-7 — but evidence that a top-</w:t>
      </w:r>
      <m:oMath>
        <m:r>
          <m:t>N</m:t>
        </m:r>
      </m:oMath>
      <w:r>
        <w:t xml:space="preserve">-identity overlap rule is</w:t>
      </w:r>
      <w:r>
        <w:t xml:space="preserve"> </w:t>
      </w:r>
      <w:r>
        <w:t xml:space="preserve">biased by token-mass dispersion (</w:t>
      </w:r>
      <w:hyperlink w:anchor="eq:dispersion">
        <w:r>
          <w:rPr>
            <w:rStyle w:val="Hyperlink"/>
          </w:rPr>
          <w:t xml:space="preserve">[eq:dispersion]</w:t>
        </w:r>
      </w:hyperlink>
      <w:r>
        <w:t xml:space="preserve">). A genuine LLM</w:t>
      </w:r>
      <w:r>
        <w:t xml:space="preserve"> </w:t>
      </w:r>
      <w:r>
        <w:t xml:space="preserve">oracle, given opaque token identifiers and asked for identity overlap,</w:t>
      </w:r>
      <w:r>
        <w:t xml:space="preserve"> </w:t>
      </w:r>
      <w:r>
        <w:t xml:space="preserve">would inherit the same bias; only a judge equipped with</w:t>
      </w:r>
      <w:r>
        <w:t xml:space="preserve"> </w:t>
      </w:r>
      <w:r>
        <w:rPr>
          <w:i/>
          <w:iCs/>
        </w:rPr>
        <w:t xml:space="preserve">semantic</w:t>
      </w:r>
      <w:r>
        <w:t xml:space="preserve"> </w:t>
      </w:r>
      <w:r>
        <w:t xml:space="preserve">comparison of token meanings (e.g. the spectral</w:t>
      </w:r>
      <w:r>
        <w:t xml:space="preserve"> </w:t>
      </w:r>
      <w:r>
        <w:t xml:space="preserve">region a token names) would escape it. This is a cautionary result for</w:t>
      </w:r>
      <w:r>
        <w:t xml:space="preserve"> </w:t>
      </w:r>
      <w:r>
        <w:t xml:space="preserve">the growing practice of using LLMs to score topic models</w:t>
      </w:r>
      <w:r>
        <w:t xml:space="preserve"> </w:t>
      </w:r>
      <w:r>
        <w:t xml:space="preserve">(Stammbach et al. 2023;</w:t>
      </w:r>
      <w:r>
        <w:t xml:space="preserve"> </w:t>
      </w:r>
      <w:r>
        <w:t xml:space="preserve">Yang and collaborators</w:t>
      </w:r>
      <w:r>
        <w:t xml:space="preserve"> </w:t>
      </w:r>
      <w:r>
        <w:t xml:space="preserve">2025)</w:t>
      </w:r>
      <w:r>
        <w:t xml:space="preserve">: the prompt must</w:t>
      </w:r>
      <w:r>
        <w:t xml:space="preserve"> </w:t>
      </w:r>
      <w:r>
        <w:t xml:space="preserve">expose token</w:t>
      </w:r>
      <w:r>
        <w:t xml:space="preserve"> </w:t>
      </w:r>
      <w:r>
        <w:rPr>
          <w:i/>
          <w:iCs/>
        </w:rPr>
        <w:t xml:space="preserve">semantics</w:t>
      </w:r>
      <w:r>
        <w:t xml:space="preserve">, not token</w:t>
      </w:r>
      <w:r>
        <w:t xml:space="preserve"> </w:t>
      </w:r>
      <w:r>
        <w:rPr>
          <w:i/>
          <w:iCs/>
        </w:rPr>
        <w:t xml:space="preserve">strings</w:t>
      </w:r>
      <w:r>
        <w:t xml:space="preserve">, or the score</w:t>
      </w:r>
      <w:r>
        <w:t xml:space="preserve"> </w:t>
      </w:r>
      <w:r>
        <w:t xml:space="preserve">will track vocabulary engineering rather than topic content.</w:t>
      </w:r>
    </w:p>
    <w:p>
      <w:pPr>
        <w:pStyle w:val="BodyText"/>
      </w:pPr>
      <w:r>
        <w:rPr>
          <w:b/>
          <w:bCs/>
        </w:rPr>
        <w:t xml:space="preserve">Interpretability is a recipe property, not an LDA property.</w:t>
      </w:r>
      <w:r>
        <w:t xml:space="preserve"> </w:t>
      </w:r>
      <w:r>
        <w:t xml:space="preserve">The tier classification of §</w:t>
      </w:r>
      <w:hyperlink w:anchor="sec:rec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shows that the same LDA</w:t>
      </w:r>
      <w:r>
        <w:t xml:space="preserve"> </w:t>
      </w:r>
      <w:r>
        <w:t xml:space="preserve">backbone yields explanations ranging from directly physical (V1, V7,</w:t>
      </w:r>
      <w:r>
        <w:t xml:space="preserve"> </w:t>
      </w:r>
      <w:r>
        <w:t xml:space="preserve">V14, V18, V20) to recursively opaque (V13, V17, V19).</w:t>
      </w:r>
      <w:r>
        <w:t xml:space="preserve"> </w:t>
      </w:r>
      <w:r>
        <w:t xml:space="preserve">“LDA is</w:t>
      </w:r>
      <w:r>
        <w:t xml:space="preserve"> </w:t>
      </w:r>
      <w:r>
        <w:t xml:space="preserve">interpretable”</w:t>
      </w:r>
      <w:r>
        <w:t xml:space="preserve"> </w:t>
      </w:r>
      <w:r>
        <w:t xml:space="preserve">is therefore an incomplete claim; the defensible claim</w:t>
      </w:r>
      <w:r>
        <w:t xml:space="preserve"> </w:t>
      </w:r>
      <w:r>
        <w:t xml:space="preserve">is</w:t>
      </w:r>
      <w:r>
        <w:t xml:space="preserve"> </w:t>
      </w:r>
      <w:r>
        <w:t xml:space="preserve">“LDA on a physically-grounded wordification is interpretable.”</w:t>
      </w:r>
    </w:p>
    <w:bookmarkEnd w:id="37"/>
    <w:bookmarkStart w:id="38" w:name="sec:limitations"/>
    <w:p>
      <w:pPr>
        <w:pStyle w:val="Heading1"/>
      </w:pPr>
      <w:r>
        <w:t xml:space="preserve">Limitations</w:t>
      </w:r>
    </w:p>
    <w:p>
      <w:pPr>
        <w:pStyle w:val="FirstParagraph"/>
      </w:pPr>
      <w:r>
        <w:rPr>
          <w:b/>
          <w:bCs/>
        </w:rPr>
        <w:t xml:space="preserve">LDA only.</w:t>
      </w:r>
      <w:r>
        <w:t xml:space="preserve"> </w:t>
      </w:r>
      <w:r>
        <w:t xml:space="preserve">Every result here is for the LDA backbone</w:t>
      </w:r>
      <w:r>
        <w:t xml:space="preserve"> </w:t>
      </w:r>
      <w:r>
        <w:t xml:space="preserve">(</w:t>
      </w:r>
      <w:hyperlink w:anchor="eq:lda-gen">
        <w:r>
          <w:rPr>
            <w:rStyle w:val="Hyperlink"/>
          </w:rPr>
          <w:t xml:space="preserve">[eq:lda-gen]</w:t>
        </w:r>
      </w:hyperlink>
      <w:r>
        <w:t xml:space="preserve">). The closed-form posterior that makes F-13</w:t>
      </w:r>
      <w:r>
        <w:t xml:space="preserve"> </w:t>
      </w:r>
      <w:r>
        <w:t xml:space="preserve">tractable, and the simplex-structured</w:t>
      </w:r>
      <w:r>
        <w:t xml:space="preserve"> </w:t>
      </w:r>
      <m:oMath>
        <m:sSub>
          <m:e>
            <m:r>
              <m:t>ϕ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 which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is defined, do not transfer unchanged to ProdLDA’s</w:t>
      </w:r>
      <w:r>
        <w:t xml:space="preserve"> </w:t>
      </w:r>
      <w:r>
        <w:t xml:space="preserve">product-of-experts decoder (</w:t>
      </w:r>
      <w:hyperlink w:anchor="eq:prodlda-gen">
        <w:r>
          <w:rPr>
            <w:rStyle w:val="Hyperlink"/>
          </w:rPr>
          <w:t xml:space="preserve">[eq:prodlda-gen]</w:t>
        </w:r>
      </w:hyperlink>
      <w:r>
        <w:t xml:space="preserve">) or ETM’s embedding</w:t>
      </w:r>
      <w:r>
        <w:t xml:space="preserve"> </w:t>
      </w:r>
      <w:r>
        <w:t xml:space="preserve">decoder (</w:t>
      </w:r>
      <w:hyperlink w:anchor="eq:etm-beta">
        <w:r>
          <w:rPr>
            <w:rStyle w:val="Hyperlink"/>
          </w:rPr>
          <w:t xml:space="preserve">[eq:etm-beta]</w:t>
        </w:r>
      </w:hyperlink>
      <w:r>
        <w:t xml:space="preserve">); replicating these axes under P4’s</w:t>
      </w:r>
      <w:r>
        <w:t xml:space="preserve"> </w:t>
      </w:r>
      <w:r>
        <w:t xml:space="preserve">backbones is open work.</w:t>
      </w:r>
    </w:p>
    <w:p>
      <w:pPr>
        <w:pStyle w:val="BodyText"/>
      </w:pPr>
      <w:r>
        <w:rPr>
          <w:b/>
          <w:bCs/>
        </w:rPr>
        <w:t xml:space="preserve">Self-judge stand-in for the LLM oracle.</w:t>
      </w:r>
      <w:r>
        <w:t xml:space="preserve"> </w:t>
      </w:r>
      <w:r>
        <w:t xml:space="preserve">F-15 was produced by a</w:t>
      </w:r>
      <w:r>
        <w:t xml:space="preserve"> </w:t>
      </w:r>
      <w:r>
        <w:t xml:space="preserve">deterministic encoding of the alignment rule (Claude Opus 4.7, 1M</w:t>
      </w:r>
      <w:r>
        <w:t xml:space="preserve"> </w:t>
      </w:r>
      <w:r>
        <w:t xml:space="preserve">context) rather than live per-call API judging. This makes the run</w:t>
      </w:r>
      <w:r>
        <w:t xml:space="preserve"> </w:t>
      </w:r>
      <w:r>
        <w:t xml:space="preserve">reproducible and free, but it cannot exhibit the semantic-comparison</w:t>
      </w:r>
      <w:r>
        <w:t xml:space="preserve"> </w:t>
      </w:r>
      <w:r>
        <w:t xml:space="preserve">behaviour that a true oracle might; the API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build_v_sweep_f15_llm_alignment.py</w:t>
      </w:r>
      <w:r>
        <w:t xml:space="preserve">) is provided for users</w:t>
      </w:r>
      <w:r>
        <w:t xml:space="preserve"> </w:t>
      </w:r>
      <w:r>
        <w:t xml:space="preserve">who wish to substitute live judging. Our claims about F-15 concern the</w:t>
      </w:r>
      <w:r>
        <w:t xml:space="preserve"> </w:t>
      </w:r>
      <w:r>
        <w:rPr>
          <w:i/>
          <w:iCs/>
        </w:rPr>
        <w:t xml:space="preserve">metric definition</w:t>
      </w:r>
      <w:r>
        <w:t xml:space="preserve"> </w:t>
      </w:r>
      <w:r>
        <w:t xml:space="preserve">(</w:t>
      </w:r>
      <w:hyperlink w:anchor="eq:f15">
        <w:r>
          <w:rPr>
            <w:rStyle w:val="Hyperlink"/>
          </w:rPr>
          <w:t xml:space="preserve">[eq:f15]</w:t>
        </w:r>
      </w:hyperlink>
      <w:r>
        <w:t xml:space="preserve">) and hold regardless of which</w:t>
      </w:r>
      <w:r>
        <w:t xml:space="preserve"> </w:t>
      </w:r>
      <w:r>
        <w:t xml:space="preserve">judge instantiates it.</w:t>
      </w:r>
    </w:p>
    <w:p>
      <w:pPr>
        <w:pStyle w:val="BodyText"/>
      </w:pP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is computed on</w:t>
      </w:r>
      <w:r>
        <w:rPr>
          <w:b/>
          <w:bCs/>
        </w:rPr>
        <w:t xml:space="preserve"> </w:t>
      </w:r>
      <m:oMath>
        <m:sSub>
          <m:e>
            <m:r>
              <m:t>ϕ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We measure</w:t>
      </w:r>
      <w:r>
        <w:t xml:space="preserve"> </w:t>
      </w:r>
      <w:r>
        <w:t xml:space="preserve">dispersion on the topic–word distributions, the quantity the</w:t>
      </w:r>
      <w:r>
        <w:t xml:space="preserve"> </w:t>
      </w:r>
      <w:r>
        <w:t xml:space="preserve">topic-side of the F-15 rule reads; the canonical metric</w:t>
      </w:r>
      <w:r>
        <w:t xml:space="preserve"> </w:t>
      </w:r>
      <w:r>
        <w:t xml:space="preserve">(</w:t>
      </w:r>
      <w:hyperlink w:anchor="eq:dispersion">
        <w:r>
          <w:rPr>
            <w:rStyle w:val="Hyperlink"/>
          </w:rPr>
          <w:t xml:space="preserve">[eq:dispersion]</w:t>
        </w:r>
      </w:hyperlink>
      <w:r>
        <w:t xml:space="preserve">) is stated on a generic mass vector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r>
        <w:t xml:space="preserve">applies equally to per-document counts. The two give the same</w:t>
      </w:r>
      <w:r>
        <w:t xml:space="preserve"> </w:t>
      </w:r>
      <w:r>
        <w:t xml:space="preserve">qualitative ordering for the decisive V3 / V12 / V20 comparison but</w:t>
      </w:r>
      <w:r>
        <w:t xml:space="preserve"> </w:t>
      </w:r>
      <w:r>
        <w:t xml:space="preserve">differ in absolute scale; we report the</w:t>
      </w:r>
      <w:r>
        <w:t xml:space="preserve"> </w:t>
      </w:r>
      <m:oMath>
        <m:sSub>
          <m:e>
            <m:r>
              <m:t>ϕ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version because it is</w:t>
      </w:r>
      <w:r>
        <w:t xml:space="preserve"> </w:t>
      </w:r>
      <w:r>
        <w:t xml:space="preserve">what F-15 actually depends on.</w:t>
      </w:r>
    </w:p>
    <w:p>
      <w:pPr>
        <w:pStyle w:val="BodyText"/>
      </w:pPr>
      <w:r>
        <w:rPr>
          <w:b/>
          <w:bCs/>
        </w:rPr>
        <w:t xml:space="preserve">Partial F-22 under the extension.</w:t>
      </w:r>
      <w:r>
        <w:t xml:space="preserve"> </w:t>
      </w:r>
      <w:r>
        <w:t xml:space="preserve">The full F-22 table</w:t>
      </w:r>
      <w:r>
        <w:t xml:space="preserve"> </w:t>
      </w:r>
      <w:r>
        <w:t xml:space="preserve">(Table </w:t>
      </w:r>
      <w:hyperlink w:anchor="tab:f22-summary">
        <w:r>
          <w:rPr>
            <w:rStyle w:val="Hyperlink"/>
          </w:rPr>
          <w:t xml:space="preserve">1</w:t>
        </w:r>
      </w:hyperlink>
      <w:r>
        <w:t xml:space="preserve">) is complete for the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sweep, but the</w:t>
      </w:r>
      <w:r>
        <w:t xml:space="preserve"> </w:t>
      </w:r>
      <m:oMath>
        <m:r>
          <m:rPr>
            <m:sty m:val="p"/>
          </m:rPr>
          <m:t>×</m:t>
        </m:r>
        <m:r>
          <m:t>Q</m:t>
        </m:r>
        <m:r>
          <m:rPr>
            <m:sty m:val="p"/>
          </m:rPr>
          <m:t>×</m:t>
        </m:r>
      </m:oMath>
      <w:r>
        <w:t xml:space="preserve"> </w:t>
      </w:r>
      <w:r>
        <w:t xml:space="preserve">new-recipe cross-product (§</w:t>
      </w:r>
      <w:hyperlink w:anchor="sec:v13-v20-interp">
        <w:r>
          <w:rPr>
            <w:rStyle w:val="Hyperlink"/>
          </w:rPr>
          <w:t xml:space="preserve">7</w:t>
        </w:r>
      </w:hyperlink>
      <w:r>
        <w:t xml:space="preserve">)</w:t>
      </w:r>
      <w:r>
        <w:t xml:space="preserve"> </w:t>
      </w:r>
      <w:r>
        <w:t xml:space="preserve">is profiled only spot-wise; a full re-run is left to a follow-up.</w:t>
      </w:r>
    </w:p>
    <w:p>
      <w:pPr>
        <w:pStyle w:val="BodyText"/>
      </w:pPr>
      <w:r>
        <w:rPr>
          <w:b/>
          <w:bCs/>
        </w:rPr>
        <w:t xml:space="preserve">Six labelled scenes.</w:t>
      </w:r>
      <w:r>
        <w:t xml:space="preserve"> </w:t>
      </w:r>
      <w:r>
        <w:t xml:space="preserve">The HIDSAG mineralogical subsets used in</w:t>
      </w:r>
      <w:r>
        <w:t xml:space="preserve"> </w:t>
      </w:r>
      <w:r>
        <w:t xml:space="preserve">P1/P3 are not included here because their per-pixel label structure</w:t>
      </w:r>
      <w:r>
        <w:t xml:space="preserve"> </w:t>
      </w:r>
      <w:r>
        <w:t xml:space="preserve">differs; the dispersion result should be re-checked on them before</w:t>
      </w:r>
      <w:r>
        <w:t xml:space="preserve"> </w:t>
      </w:r>
      <w:r>
        <w:t xml:space="preserve">being claimed as scene-independent.</w:t>
      </w:r>
    </w:p>
    <w:bookmarkEnd w:id="38"/>
    <w:bookmarkStart w:id="80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We instantiated three post-hoc interpretability axes — F-13 SHAP</w:t>
      </w:r>
      <w:r>
        <w:t xml:space="preserve"> </w:t>
      </w:r>
      <w:r>
        <w:t xml:space="preserve">attribution, F-22 counterfactual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and F-15 LLM-judge alignment</w:t>
      </w:r>
      <w:r>
        <w:t xml:space="preserve"> </w:t>
      </w:r>
      <w:r>
        <w:t xml:space="preserve">— on the LDA wordification sweep of P3, and reported three results.</w:t>
      </w:r>
      <w:r>
        <w:t xml:space="preserve"> </w:t>
      </w:r>
      <w:r>
        <w:t xml:space="preserve">First, F-13 SHAP gives recipe-grounded explanations whose physical</w:t>
      </w:r>
      <w:r>
        <w:t xml:space="preserve"> </w:t>
      </w:r>
      <w:r>
        <w:t xml:space="preserve">meaning is fixed by the recipe and cannot silently shift across scenes;</w:t>
      </w:r>
      <w:r>
        <w:t xml:space="preserve"> </w:t>
      </w:r>
      <w:r>
        <w:t xml:space="preserve">this is the axis we recommend as the primary interpretability artefact.</w:t>
      </w:r>
      <w:r>
        <w:t xml:space="preserve"> </w:t>
      </w:r>
      <w:r>
        <w:t xml:space="preserve">Second, F-22 separates the recipes into robust (V20</w:t>
      </w:r>
      <w:r>
        <w:t xml:space="preserve"> </w:t>
      </w:r>
      <m:oMath>
        <m:r>
          <m:rPr>
            <m:sty m:val="p"/>
          </m:rPr>
          <m:t>=</m:t>
        </m:r>
        <m:r>
          <m:t>26.3</m:t>
        </m:r>
      </m:oMath>
      <w:r>
        <w:t xml:space="preserve">,</w:t>
      </w:r>
      <w:r>
        <w:t xml:space="preserve"> </w:t>
      </w:r>
      <w:r>
        <w:t xml:space="preserve">V12</w:t>
      </w:r>
      <w:r>
        <w:t xml:space="preserve"> </w:t>
      </w:r>
      <m:oMath>
        <m:r>
          <m:rPr>
            <m:sty m:val="p"/>
          </m:rPr>
          <m:t>=</m:t>
        </m:r>
        <m:r>
          <m:t>24.5</m:t>
        </m:r>
      </m:oMath>
      <w:r>
        <w:t xml:space="preserve">, V3</w:t>
      </w:r>
      <w:r>
        <w:t xml:space="preserve"> </w:t>
      </w:r>
      <m:oMath>
        <m:r>
          <m:rPr>
            <m:sty m:val="p"/>
          </m:rPr>
          <m:t>=</m:t>
        </m:r>
        <m:r>
          <m:t>23.5</m:t>
        </m:r>
      </m:oMath>
      <w:r>
        <w:t xml:space="preserve">) and fragile (V9</w:t>
      </w:r>
      <w:r>
        <w:t xml:space="preserve"> </w:t>
      </w:r>
      <m:oMath>
        <m:r>
          <m:rPr>
            <m:sty m:val="p"/>
          </m:rPr>
          <m:t>=</m:t>
        </m:r>
        <m:r>
          <m:t>1.0</m:t>
        </m:r>
      </m:oMath>
      <w:r>
        <w:t xml:space="preserve">) topic-boundary</w:t>
      </w:r>
      <w:r>
        <w:t xml:space="preserve"> </w:t>
      </w:r>
      <w:r>
        <w:t xml:space="preserve">regimes, complementing P3’s coherence ranking by ruling out a</w:t>
      </w:r>
      <w:r>
        <w:t xml:space="preserve"> </w:t>
      </w:r>
      <w:r>
        <w:t xml:space="preserve">trivial-overfit account of V20’s lead. Third, and most important</w:t>
      </w:r>
      <w:r>
        <w:t xml:space="preserve"> </w:t>
      </w:r>
      <w:r>
        <w:t xml:space="preserve">methodologically, F-15 is governed by</w:t>
      </w:r>
      <w:r>
        <w:t xml:space="preserve"> </w:t>
      </w:r>
      <w:r>
        <w:rPr>
          <w:i/>
          <w:iCs/>
        </w:rPr>
        <w:t xml:space="preserve">token-mass dispersion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q:dispersion">
        <w:r>
          <w:rPr>
            <w:rStyle w:val="Hyperlink"/>
          </w:rPr>
          <w:t xml:space="preserve">[eq:dispersion]</w:t>
        </w:r>
      </w:hyperlink>
      <w:r>
        <w:t xml:space="preserve">),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nominal</w:t>
      </w:r>
      <w:r>
        <w:t xml:space="preserve"> </w:t>
      </w:r>
      <w:r>
        <w:t xml:space="preserve">vocabulary cardinality: among the three recipes whose alphabets are</w:t>
      </w:r>
      <w:r>
        <w:t xml:space="preserve"> </w:t>
      </w:r>
      <w:r>
        <w:t xml:space="preserve">the same size (mean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V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1376</m:t>
        </m:r>
      </m:oMath>
      <w:r>
        <w:t xml:space="preserve">; V3/V20 identical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d</m:t>
        </m:r>
        <m:r>
          <m:rPr>
            <m:sty m:val="p"/>
          </m:rPr>
          <m:t>,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t xml:space="preserve">, V12 same-sized GMM), F-15 rises</w:t>
      </w:r>
      <w:r>
        <w:t xml:space="preserve"> </w:t>
      </w:r>
      <w:r>
        <w:t xml:space="preserve">(</w:t>
      </w:r>
      <m:oMath>
        <m:r>
          <m:t>0.12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0.16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0.64</m:t>
        </m:r>
      </m:oMath>
      <w:r>
        <w:t xml:space="preserve">) exactly as topic dispersion falls</w:t>
      </w:r>
      <w:r>
        <w:t xml:space="preserve"> </w:t>
      </w:r>
      <w:r>
        <w:t xml:space="preserve">(</w:t>
      </w:r>
      <m:oMath>
        <m:r>
          <m:t>431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400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309</m:t>
        </m:r>
      </m:oMath>
      <w:r>
        <w:t xml:space="preserve">), while a</w:t>
      </w:r>
      <w:r>
        <w:t xml:space="preserve"> </w:t>
      </w:r>
      <w:r>
        <w:t xml:space="preserve">cardinality account predicts no difference. We therefore recommend</w:t>
      </w:r>
      <w:r>
        <w:t xml:space="preserve"> </w:t>
      </w:r>
      <w:r>
        <w:t xml:space="preserve">reporting F-15 only after dispersion normalisation, and we caution that</w:t>
      </w:r>
      <w:r>
        <w:t xml:space="preserve"> </w:t>
      </w:r>
      <w:r>
        <w:t xml:space="preserve">LLM-as-judge topic evaluation inherits the same artefact unless the</w:t>
      </w:r>
      <w:r>
        <w:t xml:space="preserve"> </w:t>
      </w:r>
      <w:r>
        <w:t xml:space="preserve">judge is given token</w:t>
      </w:r>
      <w:r>
        <w:t xml:space="preserve"> </w:t>
      </w:r>
      <w:r>
        <w:rPr>
          <w:i/>
          <w:iCs/>
        </w:rPr>
        <w:t xml:space="preserve">semantics</w:t>
      </w:r>
      <w:r>
        <w:t xml:space="preserve"> </w:t>
      </w:r>
      <w:r>
        <w:t xml:space="preserve">rather than token strings.</w:t>
      </w:r>
      <w:r>
        <w:t xml:space="preserve"> </w:t>
      </w:r>
      <w:r>
        <w:t xml:space="preserve">Extending these axes across the P4 backbones, and re-checking the</w:t>
      </w:r>
      <w:r>
        <w:t xml:space="preserve"> </w:t>
      </w:r>
      <w:r>
        <w:t xml:space="preserve">dispersion result on the HIDSAG subsets, are the natural next steps.</w:t>
      </w:r>
    </w:p>
    <w:bookmarkStart w:id="79" w:name="refs"/>
    <w:bookmarkStart w:id="40" w:name="ref-baumgardner1992indianpines"/>
    <w:p>
      <w:pPr>
        <w:pStyle w:val="Bibliography"/>
      </w:pPr>
      <w:r>
        <w:t xml:space="preserve">Baumgardner, Marion F., Larry L. Biehl, and David A. Landgrebe. 2015.</w:t>
      </w:r>
      <w:r>
        <w:t xml:space="preserve"> </w:t>
      </w:r>
      <w:r>
        <w:rPr>
          <w:i/>
          <w:iCs/>
        </w:rPr>
        <w:t xml:space="preserve">220 Band</w:t>
      </w:r>
      <w:r>
        <w:rPr>
          <w:i/>
          <w:iCs/>
        </w:rPr>
        <w:t xml:space="preserve"> </w:t>
      </w:r>
      <w:r>
        <w:rPr>
          <w:i/>
          <w:iCs/>
        </w:rPr>
        <w:t xml:space="preserve">AVIRIS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 Data Set:</w:t>
      </w:r>
      <w:r>
        <w:rPr>
          <w:i/>
          <w:iCs/>
        </w:rPr>
        <w:t xml:space="preserve"> </w:t>
      </w:r>
      <w:r>
        <w:rPr>
          <w:i/>
          <w:iCs/>
        </w:rPr>
        <w:t xml:space="preserve">June</w:t>
      </w:r>
      <w:r>
        <w:rPr>
          <w:i/>
          <w:iCs/>
        </w:rPr>
        <w:t xml:space="preserve"> </w:t>
      </w:r>
      <w:r>
        <w:rPr>
          <w:i/>
          <w:iCs/>
        </w:rPr>
        <w:t xml:space="preserve">12, 1992</w:t>
      </w:r>
      <w:r>
        <w:rPr>
          <w:i/>
          <w:iCs/>
        </w:rPr>
        <w:t xml:space="preserve"> </w:t>
      </w:r>
      <w:r>
        <w:rPr>
          <w:i/>
          <w:iCs/>
        </w:rPr>
        <w:t xml:space="preserve">Indian</w:t>
      </w:r>
      <w:r>
        <w:rPr>
          <w:i/>
          <w:iCs/>
        </w:rPr>
        <w:t xml:space="preserve"> </w:t>
      </w:r>
      <w:r>
        <w:rPr>
          <w:i/>
          <w:iCs/>
        </w:rPr>
        <w:t xml:space="preserve">Pine</w:t>
      </w:r>
      <w:r>
        <w:rPr>
          <w:i/>
          <w:iCs/>
        </w:rPr>
        <w:t xml:space="preserve"> </w:t>
      </w:r>
      <w:r>
        <w:rPr>
          <w:i/>
          <w:iCs/>
        </w:rPr>
        <w:t xml:space="preserve">Test Site 3</w:t>
      </w:r>
      <w:r>
        <w:t xml:space="preserve">. Purdue University Research Repository.</w:t>
      </w:r>
      <w:r>
        <w:t xml:space="preserve"> </w:t>
      </w:r>
      <w:hyperlink r:id="rId39">
        <w:r>
          <w:rPr>
            <w:rStyle w:val="Hyperlink"/>
          </w:rPr>
          <w:t xml:space="preserve">https://doi.org/10.4231/R7RX991C</w:t>
        </w:r>
      </w:hyperlink>
      <w:r>
        <w:t xml:space="preserve">.</w:t>
      </w:r>
    </w:p>
    <w:bookmarkEnd w:id="40"/>
    <w:bookmarkStart w:id="42" w:name="ref-blei2003lda"/>
    <w:p>
      <w:pPr>
        <w:pStyle w:val="Bibliography"/>
      </w:pPr>
      <w:r>
        <w:t xml:space="preserve">Blei, David M., Andrew Y. Ng, and Michael I. Jordan. 2003.</w:t>
      </w:r>
      <w:r>
        <w:t xml:space="preserve"> </w:t>
      </w:r>
      <w:r>
        <w:t xml:space="preserve">“Latent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3: 993–1022.</w:t>
      </w:r>
      <w:r>
        <w:t xml:space="preserve"> </w:t>
      </w:r>
      <w:hyperlink r:id="rId41">
        <w:r>
          <w:rPr>
            <w:rStyle w:val="Hyperlink"/>
          </w:rPr>
          <w:t xml:space="preserve">https://jmlr.org/papers/v3/blei03a.html</w:t>
        </w:r>
      </w:hyperlink>
      <w:r>
        <w:t xml:space="preserve">.</w:t>
      </w:r>
    </w:p>
    <w:bookmarkEnd w:id="42"/>
    <w:bookmarkStart w:id="45" w:name="ref-rosis_pavia"/>
    <w:p>
      <w:pPr>
        <w:pStyle w:val="Bibliography"/>
      </w:pPr>
      <w:r>
        <w:t xml:space="preserve">German Aerospace Center (DLR) ROSIS sensor. 2003.</w:t>
      </w:r>
      <w:r>
        <w:t xml:space="preserve"> </w:t>
      </w:r>
      <w:r>
        <w:rPr>
          <w:i/>
          <w:iCs/>
        </w:rPr>
        <w:t xml:space="preserve">ROSIS</w:t>
      </w:r>
      <w:r>
        <w:rPr>
          <w:i/>
          <w:iCs/>
        </w:rPr>
        <w:t xml:space="preserve"> </w:t>
      </w:r>
      <w:r>
        <w:rPr>
          <w:i/>
          <w:iCs/>
        </w:rPr>
        <w:t xml:space="preserve">Pavia</w:t>
      </w:r>
      <w:r>
        <w:rPr>
          <w:i/>
          <w:iCs/>
        </w:rPr>
        <w:t xml:space="preserve"> </w:t>
      </w:r>
      <w:r>
        <w:rPr>
          <w:i/>
          <w:iCs/>
        </w:rPr>
        <w:t xml:space="preserve">University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Dataset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Https://www.ehu.eus/ccwintco/index.php/Hyperspectral_Remote_Sensing_Scenes#Pavia_Centre_and_University</w:t>
        </w:r>
      </w:hyperlink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https://www.ehu.eus/ccwintco/index.php/Hyperspectral_Remote_Sensing_Scenes#Pavia_University_scene</w:t>
        </w:r>
      </w:hyperlink>
      <w:r>
        <w:t xml:space="preserve">.</w:t>
      </w:r>
    </w:p>
    <w:bookmarkEnd w:id="45"/>
    <w:bookmarkStart w:id="47" w:name="ref-greene2014topics"/>
    <w:p>
      <w:pPr>
        <w:pStyle w:val="Bibliography"/>
      </w:pPr>
      <w:r>
        <w:t xml:space="preserve">Greene, Derek, Derek O’Callaghan, and Pádraig Cunningham. 2014.</w:t>
      </w:r>
      <w:r>
        <w:t xml:space="preserve"> </w:t>
      </w:r>
      <w:r>
        <w:t xml:space="preserve">“How Many Topics?</w:t>
      </w:r>
      <w:r>
        <w:t xml:space="preserve"> </w:t>
      </w:r>
      <w:r>
        <w:t xml:space="preserve">Stability</w:t>
      </w:r>
      <w:r>
        <w:t xml:space="preserve"> </w:t>
      </w:r>
      <w:r>
        <w:t xml:space="preserve">Analysis for Topic Models.”</w:t>
      </w:r>
      <w:r>
        <w:t xml:space="preserve"> </w:t>
      </w:r>
      <w:r>
        <w:rPr>
          <w:i/>
          <w:iCs/>
        </w:rPr>
        <w:t xml:space="preserve">Joint European Conference on Machine Learning and Knowledge Discovery in Databases (ECML-PKDD)</w:t>
      </w:r>
      <w:r>
        <w:t xml:space="preserve">, Lecture notes in computer science, vol. 8724: 498–513.</w:t>
      </w:r>
      <w:r>
        <w:t xml:space="preserve"> </w:t>
      </w:r>
      <w:hyperlink r:id="rId46">
        <w:r>
          <w:rPr>
            <w:rStyle w:val="Hyperlink"/>
          </w:rPr>
          <w:t xml:space="preserve">https://doi.org/10.1007/978-3-662-44848-9_32</w:t>
        </w:r>
      </w:hyperlink>
      <w:r>
        <w:t xml:space="preserve">.</w:t>
      </w:r>
    </w:p>
    <w:bookmarkEnd w:id="47"/>
    <w:bookmarkStart w:id="49" w:name="ref-hoffman2010online"/>
    <w:p>
      <w:pPr>
        <w:pStyle w:val="Bibliography"/>
      </w:pPr>
      <w:r>
        <w:t xml:space="preserve">Hoffman, Matthew D., David M. Blei, and Francis R. Bach. 2010.</w:t>
      </w:r>
      <w:r>
        <w:t xml:space="preserve"> </w:t>
      </w:r>
      <w:r>
        <w:t xml:space="preserve">“Online Learning for 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Allocation.”</w:t>
      </w:r>
      <w:r>
        <w:t xml:space="preserve"> </w:t>
      </w:r>
      <w:r>
        <w:rPr>
          <w:i/>
          <w:iCs/>
        </w:rPr>
        <w:t xml:space="preserve">Advances in Neural Information Processing Systems 23 (NIPS 2010)</w:t>
      </w:r>
      <w:r>
        <w:t xml:space="preserve">, 856–64.</w:t>
      </w:r>
      <w:r>
        <w:t xml:space="preserve"> </w:t>
      </w:r>
      <w:hyperlink r:id="rId48">
        <w:r>
          <w:rPr>
            <w:rStyle w:val="Hyperlink"/>
          </w:rPr>
          <w:t xml:space="preserve">https://papers.nips.cc/paper/3902-online-learning-for-latent-dirichlet-allocation</w:t>
        </w:r>
      </w:hyperlink>
      <w:r>
        <w:t xml:space="preserve">.</w:t>
      </w:r>
    </w:p>
    <w:bookmarkEnd w:id="49"/>
    <w:bookmarkStart w:id="51" w:name="ref-liu2019hsilda"/>
    <w:p>
      <w:pPr>
        <w:pStyle w:val="Bibliography"/>
      </w:pPr>
      <w:r>
        <w:t xml:space="preserve">Liu, Lei, Chunhui Wang, Bo Du, and Hanjiang Lai. 2019.</w:t>
      </w:r>
      <w:r>
        <w:t xml:space="preserve"> </w:t>
      </w:r>
      <w:r>
        <w:t xml:space="preserve">“A 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Allocation-Based Local Spectral-Spatial Hyperspectral Image Classification Method.”</w:t>
      </w:r>
      <w:r>
        <w:t xml:space="preserve"> </w:t>
      </w:r>
      <w:r>
        <w:rPr>
          <w:i/>
          <w:iCs/>
        </w:rPr>
        <w:t xml:space="preserve">IEEE Geoscience and Remote Sensing Letters</w:t>
      </w:r>
      <w:r>
        <w:t xml:space="preserve"> </w:t>
      </w:r>
      <w:r>
        <w:t xml:space="preserve">16 (6): 935–39.</w:t>
      </w:r>
      <w:r>
        <w:t xml:space="preserve"> </w:t>
      </w:r>
      <w:hyperlink r:id="rId50">
        <w:r>
          <w:rPr>
            <w:rStyle w:val="Hyperlink"/>
          </w:rPr>
          <w:t xml:space="preserve">https://doi.org/10.1109/LGRS.2018.2887112</w:t>
        </w:r>
      </w:hyperlink>
      <w:r>
        <w:t xml:space="preserve">.</w:t>
      </w:r>
    </w:p>
    <w:bookmarkEnd w:id="51"/>
    <w:bookmarkStart w:id="53" w:name="ref-lundberg2017shap"/>
    <w:p>
      <w:pPr>
        <w:pStyle w:val="Bibliography"/>
      </w:pPr>
      <w:r>
        <w:t xml:space="preserve">Lundberg, Scott M., and Su-In Lee. 2017.</w:t>
      </w:r>
      <w:r>
        <w:t xml:space="preserve"> </w:t>
      </w:r>
      <w:r>
        <w:t xml:space="preserve">“A Unified Approach to Interpreting Model Predictions.”</w:t>
      </w:r>
      <w:r>
        <w:t xml:space="preserve"> </w:t>
      </w:r>
      <w:r>
        <w:rPr>
          <w:i/>
          <w:iCs/>
        </w:rPr>
        <w:t xml:space="preserve">Advances in Neural Information Processing Systems 30 (NeurIPS 2017)</w:t>
      </w:r>
      <w:r>
        <w:t xml:space="preserve">, 4765–74.</w:t>
      </w:r>
      <w:r>
        <w:t xml:space="preserve"> </w:t>
      </w:r>
      <w:hyperlink r:id="rId52">
        <w:r>
          <w:rPr>
            <w:rStyle w:val="Hyperlink"/>
          </w:rPr>
          <w:t xml:space="preserve">https://papers.nips.cc/paper/2017/hash/8a20a8621978632d76c43dfd28b67767-Abstract.html</w:t>
        </w:r>
      </w:hyperlink>
      <w:r>
        <w:t xml:space="preserve">.</w:t>
      </w:r>
    </w:p>
    <w:bookmarkEnd w:id="53"/>
    <w:bookmarkStart w:id="55" w:name="ref-mimno2011coherence"/>
    <w:p>
      <w:pPr>
        <w:pStyle w:val="Bibliography"/>
      </w:pPr>
      <w:r>
        <w:t xml:space="preserve">Mimno, David, Hanna M. Wallach, Edmund Talley, Miriam Leenders, and Andrew McCallum. 2011.</w:t>
      </w:r>
      <w:r>
        <w:t xml:space="preserve"> </w:t>
      </w:r>
      <w:r>
        <w:t xml:space="preserve">“Optimizing Semantic Coherence in Topic Models.”</w:t>
      </w:r>
      <w:r>
        <w:t xml:space="preserve"> </w:t>
      </w:r>
      <w:r>
        <w:rPr>
          <w:i/>
          <w:iCs/>
        </w:rPr>
        <w:t xml:space="preserve">Proceedings of the 2011 Conference on Empirical Methods in Natural Language Processing (EMNLP)</w:t>
      </w:r>
      <w:r>
        <w:t xml:space="preserve">, 262–72.</w:t>
      </w:r>
      <w:r>
        <w:t xml:space="preserve"> </w:t>
      </w:r>
      <w:hyperlink r:id="rId54">
        <w:r>
          <w:rPr>
            <w:rStyle w:val="Hyperlink"/>
          </w:rPr>
          <w:t xml:space="preserve">https://aclanthology.org/D11-1024/</w:t>
        </w:r>
      </w:hyperlink>
      <w:r>
        <w:t xml:space="preserve">.</w:t>
      </w:r>
    </w:p>
    <w:bookmarkEnd w:id="55"/>
    <w:bookmarkStart w:id="57" w:name="ref-eo1_botswana"/>
    <w:p>
      <w:pPr>
        <w:pStyle w:val="Bibliography"/>
      </w:pPr>
      <w:r>
        <w:t xml:space="preserve">NASA EO-1 Hyperion Mission. 2001.</w:t>
      </w:r>
      <w:r>
        <w:t xml:space="preserve"> </w:t>
      </w:r>
      <w:r>
        <w:rPr>
          <w:i/>
          <w:iCs/>
        </w:rPr>
        <w:t xml:space="preserve">EO-1 Hyperion</w:t>
      </w:r>
      <w:r>
        <w:rPr>
          <w:i/>
          <w:iCs/>
        </w:rPr>
        <w:t xml:space="preserve"> </w:t>
      </w:r>
      <w:r>
        <w:rPr>
          <w:i/>
          <w:iCs/>
        </w:rPr>
        <w:t xml:space="preserve">Okavango</w:t>
      </w:r>
      <w:r>
        <w:rPr>
          <w:i/>
          <w:iCs/>
        </w:rPr>
        <w:t xml:space="preserve"> </w:t>
      </w:r>
      <w:r>
        <w:rPr>
          <w:i/>
          <w:iCs/>
        </w:rPr>
        <w:t xml:space="preserve">Botswana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Imagery</w:t>
      </w:r>
      <w:r>
        <w:t xml:space="preserve">.</w:t>
      </w:r>
      <w:r>
        <w:t xml:space="preserve"> </w:t>
      </w:r>
      <w:hyperlink r:id="rId56">
        <w:r>
          <w:rPr>
            <w:rStyle w:val="Hyperlink"/>
          </w:rPr>
          <w:t xml:space="preserve">Https://www.ehu.eus/ccwintco/index.php/Hyperspectral_Remote_Sensing_Scenes#Botswana</w:t>
        </w:r>
      </w:hyperlink>
      <w:r>
        <w:t xml:space="preserve">.</w:t>
      </w:r>
      <w:r>
        <w:t xml:space="preserve"> </w:t>
      </w:r>
      <w:hyperlink r:id="rId56">
        <w:r>
          <w:rPr>
            <w:rStyle w:val="Hyperlink"/>
          </w:rPr>
          <w:t xml:space="preserve">https://www.ehu.eus/ccwintco/index.php/Hyperspectral_Remote_Sensing_Scenes#Botswana</w:t>
        </w:r>
      </w:hyperlink>
      <w:r>
        <w:t xml:space="preserve">.</w:t>
      </w:r>
    </w:p>
    <w:bookmarkEnd w:id="57"/>
    <w:bookmarkStart w:id="59" w:name="ref-aviris_ksc"/>
    <w:p>
      <w:pPr>
        <w:pStyle w:val="Bibliography"/>
      </w:pPr>
      <w:r>
        <w:t xml:space="preserve">NASA/JPL Airborne Visible/Infrared Imaging Spectrometer Project. 1996.</w:t>
      </w:r>
      <w:r>
        <w:t xml:space="preserve"> </w:t>
      </w:r>
      <w:r>
        <w:rPr>
          <w:i/>
          <w:iCs/>
        </w:rPr>
        <w:t xml:space="preserve">AVIRIS</w:t>
      </w:r>
      <w:r>
        <w:rPr>
          <w:i/>
          <w:iCs/>
        </w:rPr>
        <w:t xml:space="preserve"> </w:t>
      </w:r>
      <w:r>
        <w:rPr>
          <w:i/>
          <w:iCs/>
        </w:rPr>
        <w:t xml:space="preserve">Kennedy</w:t>
      </w:r>
      <w:r>
        <w:rPr>
          <w:i/>
          <w:iCs/>
        </w:rPr>
        <w:t xml:space="preserve"> </w:t>
      </w:r>
      <w:r>
        <w:rPr>
          <w:i/>
          <w:iCs/>
        </w:rPr>
        <w:t xml:space="preserve">Space</w:t>
      </w:r>
      <w:r>
        <w:rPr>
          <w:i/>
          <w:iCs/>
        </w:rPr>
        <w:t xml:space="preserve"> </w:t>
      </w:r>
      <w:r>
        <w:rPr>
          <w:i/>
          <w:iCs/>
        </w:rPr>
        <w:t xml:space="preserve">Center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Imagery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Https://www.ehu.eus/ccwintco/index.php/Hyperspectral_Remote_Sensing_Scenes#Kennedy_Space_Center_.28KSC.29</w:t>
        </w:r>
      </w:hyperlink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https://www.ehu.eus/ccwintco/index.php/Hyperspectral_Remote_Sensing_Scenes#Kennedy_Space_Center_.28KSC.29</w:t>
        </w:r>
      </w:hyperlink>
      <w:r>
        <w:t xml:space="preserve">.</w:t>
      </w:r>
    </w:p>
    <w:bookmarkEnd w:id="59"/>
    <w:bookmarkStart w:id="61" w:name="ref-aviris_salinas"/>
    <w:p>
      <w:pPr>
        <w:pStyle w:val="Bibliography"/>
      </w:pPr>
      <w:r>
        <w:t xml:space="preserve">NASA/JPL Airborne Visible/Infrared Imaging Spectrometer Project. 1998.</w:t>
      </w:r>
      <w:r>
        <w:t xml:space="preserve"> </w:t>
      </w:r>
      <w:r>
        <w:rPr>
          <w:i/>
          <w:iCs/>
        </w:rPr>
        <w:t xml:space="preserve">AVIRIS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Imagery —</w:t>
      </w:r>
      <w:r>
        <w:rPr>
          <w:i/>
          <w:iCs/>
        </w:rPr>
        <w:t xml:space="preserve"> </w:t>
      </w:r>
      <w:r>
        <w:rPr>
          <w:i/>
          <w:iCs/>
        </w:rPr>
        <w:t xml:space="preserve">Salinas</w:t>
      </w:r>
      <w:r>
        <w:rPr>
          <w:i/>
          <w:iCs/>
        </w:rPr>
        <w:t xml:space="preserve"> </w:t>
      </w:r>
      <w:r>
        <w:rPr>
          <w:i/>
          <w:iCs/>
        </w:rPr>
        <w:t xml:space="preserve">Valley, California</w:t>
      </w:r>
      <w:r>
        <w:t xml:space="preserve">.</w:t>
      </w:r>
      <w:r>
        <w:t xml:space="preserve"> </w:t>
      </w:r>
      <w:hyperlink r:id="rId60">
        <w:r>
          <w:rPr>
            <w:rStyle w:val="Hyperlink"/>
          </w:rPr>
          <w:t xml:space="preserve">Https://www.ehu.eus/ccwintco/index.php/Hyperspectral_Remote_Sensing_Scenes#Salinas_scene</w:t>
        </w:r>
      </w:hyperlink>
      <w:r>
        <w:t xml:space="preserve">.</w:t>
      </w:r>
      <w:r>
        <w:t xml:space="preserve"> </w:t>
      </w:r>
      <w:hyperlink r:id="rId60">
        <w:r>
          <w:rPr>
            <w:rStyle w:val="Hyperlink"/>
          </w:rPr>
          <w:t xml:space="preserve">https://www.ehu.eus/ccwintco/index.php/Hyperspectral_Remote_Sensing_Scenes#Salinas_scene</w:t>
        </w:r>
      </w:hyperlink>
      <w:r>
        <w:t xml:space="preserve">.</w:t>
      </w:r>
    </w:p>
    <w:bookmarkEnd w:id="61"/>
    <w:bookmarkStart w:id="63" w:name="ref-newman2010coherence"/>
    <w:p>
      <w:pPr>
        <w:pStyle w:val="Bibliography"/>
      </w:pPr>
      <w:r>
        <w:t xml:space="preserve">Newman, David, Jey Han Lau, Karl Grieser, and Timothy Baldwin. 2010.</w:t>
      </w:r>
      <w:r>
        <w:t xml:space="preserve"> </w:t>
      </w:r>
      <w:r>
        <w:t xml:space="preserve">“Automatic Evaluation of Topic Coherence.”</w:t>
      </w:r>
      <w:r>
        <w:t xml:space="preserve"> </w:t>
      </w:r>
      <w:r>
        <w:rPr>
          <w:i/>
          <w:iCs/>
        </w:rPr>
        <w:t xml:space="preserve">Human Language Technologies: The 2010 Annual Conference of the North American Chapter of the Association for Computational Linguistics (NAACL-HLT)</w:t>
      </w:r>
      <w:r>
        <w:t xml:space="preserve">, 100–108.</w:t>
      </w:r>
      <w:r>
        <w:t xml:space="preserve"> </w:t>
      </w:r>
      <w:hyperlink r:id="rId62">
        <w:r>
          <w:rPr>
            <w:rStyle w:val="Hyperlink"/>
          </w:rPr>
          <w:t xml:space="preserve">https://aclanthology.org/N10-1012/</w:t>
        </w:r>
      </w:hyperlink>
      <w:r>
        <w:t xml:space="preserve">.</w:t>
      </w:r>
    </w:p>
    <w:bookmarkEnd w:id="63"/>
    <w:bookmarkStart w:id="65" w:name="ref-pedregosa2011scikit"/>
    <w:p>
      <w:pPr>
        <w:pStyle w:val="Bibliography"/>
      </w:pPr>
      <w:r>
        <w:t xml:space="preserve">Pedregosa, F., G. Varoquaux, A. Gramfort, et al. 2011.</w:t>
      </w:r>
      <w:r>
        <w:t xml:space="preserve"> </w:t>
      </w:r>
      <w:r>
        <w:t xml:space="preserve">“Scikit-Learn: Machine Learning in</w:t>
      </w:r>
      <w:r>
        <w:t xml:space="preserve"> </w:t>
      </w:r>
      <w:r>
        <w:t xml:space="preserve">Python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12: 2825–30.</w:t>
      </w:r>
      <w:r>
        <w:t xml:space="preserve"> </w:t>
      </w:r>
      <w:hyperlink r:id="rId64">
        <w:r>
          <w:rPr>
            <w:rStyle w:val="Hyperlink"/>
          </w:rPr>
          <w:t xml:space="preserve">https://jmlr.org/papers/v12/pedregosa11a.html</w:t>
        </w:r>
      </w:hyperlink>
      <w:r>
        <w:t xml:space="preserve">.</w:t>
      </w:r>
    </w:p>
    <w:bookmarkEnd w:id="65"/>
    <w:bookmarkStart w:id="67" w:name="ref-roder2015exploring"/>
    <w:p>
      <w:pPr>
        <w:pStyle w:val="Bibliography"/>
      </w:pPr>
      <w:r>
        <w:t xml:space="preserve">Röder, Michael, Andreas Both, and Alexander Hinneburg. 2015.</w:t>
      </w:r>
      <w:r>
        <w:t xml:space="preserve"> </w:t>
      </w:r>
      <w:r>
        <w:t xml:space="preserve">“Exploring the Space of Topic Coherence Measures.”</w:t>
      </w:r>
      <w:r>
        <w:t xml:space="preserve"> </w:t>
      </w:r>
      <w:r>
        <w:rPr>
          <w:i/>
          <w:iCs/>
        </w:rPr>
        <w:t xml:space="preserve">Proceedings of the Eighth ACM International Conference on Web Search and Data Mining (WSDM)</w:t>
      </w:r>
      <w:r>
        <w:t xml:space="preserve">, 399–408.</w:t>
      </w:r>
      <w:r>
        <w:t xml:space="preserve"> </w:t>
      </w:r>
      <w:hyperlink r:id="rId66">
        <w:r>
          <w:rPr>
            <w:rStyle w:val="Hyperlink"/>
          </w:rPr>
          <w:t xml:space="preserve">https://doi.org/10.1145/2684822.2685324</w:t>
        </w:r>
      </w:hyperlink>
      <w:r>
        <w:t xml:space="preserve">.</w:t>
      </w:r>
    </w:p>
    <w:bookmarkEnd w:id="67"/>
    <w:bookmarkStart w:id="69" w:name="ref-santibanezleal2022procemin"/>
    <w:p>
      <w:pPr>
        <w:pStyle w:val="Bibliography"/>
      </w:pPr>
      <w:r>
        <w:t xml:space="preserve">Santibañez-Leal, Felipe A., Álvaro F. Egaña, Alejandro Ehrenfeld, Felipe Navarro, and Brian Townley. 2022.</w:t>
      </w:r>
      <w:r>
        <w:t xml:space="preserve"> </w:t>
      </w:r>
      <w:r>
        <w:t xml:space="preserve">“Geometallurgical Estimation of Mineral Samples from Hyperspectral Images and Statistical Topic Modelling.”</w:t>
      </w:r>
      <w:r>
        <w:t xml:space="preserve"> </w:t>
      </w:r>
      <w:r>
        <w:rPr>
          <w:i/>
          <w:iCs/>
        </w:rPr>
        <w:t xml:space="preserve">Proceedings of the 18th International Conference on Mineral Processing and Geometallurgy (Procemin Geomet 2022)</w:t>
      </w:r>
      <w:r>
        <w:t xml:space="preserve"> </w:t>
      </w:r>
      <w:r>
        <w:t xml:space="preserve">(Santiago, Chile).</w:t>
      </w:r>
      <w:r>
        <w:t xml:space="preserve"> </w:t>
      </w:r>
      <w:hyperlink r:id="rId68">
        <w:r>
          <w:rPr>
            <w:rStyle w:val="Hyperlink"/>
          </w:rPr>
          <w:t xml:space="preserve">https://www.researchgate.net/publication/369708272</w:t>
        </w:r>
      </w:hyperlink>
      <w:r>
        <w:t xml:space="preserve">.</w:t>
      </w:r>
    </w:p>
    <w:bookmarkEnd w:id="69"/>
    <w:bookmarkStart w:id="71" w:name="ref-stammbach2023revisiting"/>
    <w:p>
      <w:pPr>
        <w:pStyle w:val="Bibliography"/>
      </w:pPr>
      <w:r>
        <w:t xml:space="preserve">Stammbach, Dominik, Vilém Zouhar, Alexander Hoyle, Mrinmaya Sachan, and Elliott Ash. 2023.</w:t>
      </w:r>
      <w:r>
        <w:t xml:space="preserve"> </w:t>
      </w:r>
      <w:r>
        <w:t xml:space="preserve">“Revisiting Automated Topic Model Evaluation with Large Language Models.”</w:t>
      </w:r>
      <w:r>
        <w:t xml:space="preserve"> </w:t>
      </w:r>
      <w:r>
        <w:rPr>
          <w:i/>
          <w:iCs/>
        </w:rPr>
        <w:t xml:space="preserve">Proceedings of the 2023 Conference on Empirical Methods in Natural Language Processing (EMNLP)</w:t>
      </w:r>
      <w:r>
        <w:t xml:space="preserve">, 9348–57.</w:t>
      </w:r>
      <w:r>
        <w:t xml:space="preserve"> </w:t>
      </w:r>
      <w:hyperlink r:id="rId70">
        <w:r>
          <w:rPr>
            <w:rStyle w:val="Hyperlink"/>
          </w:rPr>
          <w:t xml:space="preserve">https://doi.org/10.18653/v1/2023.emnlp-main.581</w:t>
        </w:r>
      </w:hyperlink>
      <w:r>
        <w:t xml:space="preserve">.</w:t>
      </w:r>
    </w:p>
    <w:bookmarkEnd w:id="71"/>
    <w:bookmarkStart w:id="73" w:name="ref-wachter2017counterfactual"/>
    <w:p>
      <w:pPr>
        <w:pStyle w:val="Bibliography"/>
      </w:pPr>
      <w:r>
        <w:t xml:space="preserve">Wachter, Sandra, Brent Mittelstadt, and Chris Russell. 2017.</w:t>
      </w:r>
      <w:r>
        <w:t xml:space="preserve"> </w:t>
      </w:r>
      <w:r>
        <w:t xml:space="preserve">“Counterfactual Explanations Without Opening the Black Box: Automated Decisions and the</w:t>
      </w:r>
      <w:r>
        <w:t xml:space="preserve"> </w:t>
      </w:r>
      <w:r>
        <w:t xml:space="preserve">GDPR</w:t>
      </w:r>
      <w:r>
        <w:t xml:space="preserve">.”</w:t>
      </w:r>
      <w:r>
        <w:t xml:space="preserve"> </w:t>
      </w:r>
      <w:r>
        <w:rPr>
          <w:i/>
          <w:iCs/>
        </w:rPr>
        <w:t xml:space="preserve">Harvard Journal of Law &amp; Technology</w:t>
      </w:r>
      <w:r>
        <w:t xml:space="preserve"> </w:t>
      </w:r>
      <w:r>
        <w:t xml:space="preserve">31 (2): 841–87.</w:t>
      </w:r>
      <w:r>
        <w:t xml:space="preserve"> </w:t>
      </w:r>
      <w:hyperlink r:id="rId72">
        <w:r>
          <w:rPr>
            <w:rStyle w:val="Hyperlink"/>
          </w:rPr>
          <w:t xml:space="preserve">https://jolt.law.harvard.edu/assets/articlePDFs/v31/Counterfactual-Explanations-without-Opening-the-Black-Box-Sandra-Wachter-et-al.pdf</w:t>
        </w:r>
      </w:hyperlink>
      <w:r>
        <w:t xml:space="preserve">.</w:t>
      </w:r>
    </w:p>
    <w:bookmarkEnd w:id="73"/>
    <w:bookmarkStart w:id="75" w:name="ref-wahabzada2015plant"/>
    <w:p>
      <w:pPr>
        <w:pStyle w:val="Bibliography"/>
      </w:pPr>
      <w:r>
        <w:t xml:space="preserve">Wahabzada, Mirwaes, Anne-Katrin Mahlein, Christian Bauckhage, Ulrike Steiner, Erich-Christian Oerke, and Kristian Kersting. 2015.</w:t>
      </w:r>
      <w:r>
        <w:t xml:space="preserve"> </w:t>
      </w:r>
      <w:r>
        <w:t xml:space="preserve">“Plant Phenotyping Using Probabilistic Topic Models: Uncovering the Hyperspectral Language of Plants.”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5: 22482.</w:t>
      </w:r>
      <w:r>
        <w:t xml:space="preserve"> </w:t>
      </w:r>
      <w:hyperlink r:id="rId74">
        <w:r>
          <w:rPr>
            <w:rStyle w:val="Hyperlink"/>
          </w:rPr>
          <w:t xml:space="preserve">https://doi.org/10.1038/srep22482</w:t>
        </w:r>
      </w:hyperlink>
      <w:r>
        <w:t xml:space="preserve">.</w:t>
      </w:r>
    </w:p>
    <w:bookmarkEnd w:id="75"/>
    <w:bookmarkStart w:id="76" w:name="ref-yang2025bridging"/>
    <w:p>
      <w:pPr>
        <w:pStyle w:val="Bibliography"/>
      </w:pPr>
      <w:r>
        <w:t xml:space="preserve">Yang, Y., and collaborators</w:t>
      </w:r>
      <w:r>
        <w:t xml:space="preserve">. 2025.</w:t>
      </w:r>
      <w:r>
        <w:t xml:space="preserve"> </w:t>
      </w:r>
      <w:r>
        <w:rPr>
          <w:i/>
          <w:iCs/>
        </w:rPr>
        <w:t xml:space="preserve">Bridging Topic Models and Large Language Models for Interpretable Topic Evaluation</w:t>
      </w:r>
      <w:r>
        <w:t xml:space="preserve">. Preprint.</w:t>
      </w:r>
    </w:p>
    <w:bookmarkEnd w:id="76"/>
    <w:bookmarkStart w:id="78" w:name="ref-zou2017pmlda"/>
    <w:p>
      <w:pPr>
        <w:pStyle w:val="Bibliography"/>
      </w:pPr>
      <w:r>
        <w:t xml:space="preserve">Zou, Sheng, and Alina Zare. 2017.</w:t>
      </w:r>
      <w:r>
        <w:t xml:space="preserve"> </w:t>
      </w:r>
      <w:r>
        <w:t xml:space="preserve">“A Continuous-Space Partial-Membership 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 Approach for Subpixel Hyperspectral Imagery.”</w:t>
      </w:r>
      <w:r>
        <w:t xml:space="preserve"> </w:t>
      </w:r>
      <w:r>
        <w:rPr>
          <w:i/>
          <w:iCs/>
        </w:rPr>
        <w:t xml:space="preserve">IEEE Transactions on Geoscience and Remote Sensing</w:t>
      </w:r>
      <w:r>
        <w:t xml:space="preserve"> </w:t>
      </w:r>
      <w:r>
        <w:t xml:space="preserve">55 (10): 5840–53.</w:t>
      </w:r>
      <w:r>
        <w:t xml:space="preserve"> </w:t>
      </w:r>
      <w:hyperlink r:id="rId77">
        <w:r>
          <w:rPr>
            <w:rStyle w:val="Hyperlink"/>
          </w:rPr>
          <w:t xml:space="preserve">https://doi.org/10.1109/TGRS.2017.2715350</w:t>
        </w:r>
      </w:hyperlink>
      <w:r>
        <w:t xml:space="preserve">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F. Santibáñez-Leal is with the CAOS open-research</w:t>
      </w:r>
      <w:r>
        <w:t xml:space="preserve"> </w:t>
      </w:r>
      <w:r>
        <w:t xml:space="preserve">programme, Santiago, Chile</w:t>
      </w:r>
      <w:r>
        <w:t xml:space="preserve"> </w:t>
      </w:r>
      <w:r>
        <w:t xml:space="preserve">(e-mail:</w:t>
      </w:r>
      <w:r>
        <w:t xml:space="preserve"> </w:t>
      </w:r>
      <w:r>
        <w:rPr>
          <w:rStyle w:val="VerbatimChar"/>
        </w:rPr>
        <w:t xml:space="preserve">fsantibanezleal@ug.uchile.cl</w:t>
      </w:r>
      <w:r>
        <w:t xml:space="preserve">;</w:t>
      </w:r>
      <w:r>
        <w:t xml:space="preserve"> </w:t>
      </w:r>
      <w:r>
        <w:t xml:space="preserve">ORCID: 0000-0002-0150-3246).</w:t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Preprint, 2026. Fourth manuscript (programme paper P5) in the</w:t>
      </w:r>
      <w:r>
        <w:t xml:space="preserve"> </w:t>
      </w:r>
      <w:r>
        <w:t xml:space="preserve">CAOS_LDA_HSI series; companion to P3 (V-sweep) and P4 (backbone</w:t>
      </w:r>
      <w:r>
        <w:t xml:space="preserve"> </w:t>
      </w:r>
      <w:r>
        <w:t xml:space="preserve">factorial). This study restricts the analysis to the</w:t>
      </w:r>
      <w:r>
        <w:t xml:space="preserve"> </w:t>
      </w:r>
      <w:r>
        <w:rPr>
          <w:i/>
          <w:iCs/>
        </w:rPr>
        <w:t xml:space="preserve">latent Dirichlet allocation (LDA) backbone only</w:t>
      </w:r>
      <w:r>
        <w:t xml:space="preserve">. Code and</w:t>
      </w:r>
      <w:r>
        <w:t xml:space="preserve"> </w:t>
      </w:r>
      <w:r>
        <w:t xml:space="preserve">derived artefacts at</w:t>
      </w:r>
      <w:r>
        <w:t xml:space="preserve"> </w:t>
      </w:r>
      <w:hyperlink r:id="rId11">
        <w:r>
          <w:rPr>
            <w:rStyle w:val="Hyperlink"/>
          </w:rPr>
          <w:t xml:space="preserve">https://github.com/fsantibanezleal/CAOS_LDA_HSI</w:t>
        </w:r>
      </w:hyperlink>
      <w:r>
        <w:t xml:space="preserve">.</w:t>
      </w:r>
    </w:p>
  </w:footnote>
  <w:footnote w:id="1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Partially funded by AMTC Basal (ANID/PIA AFB220002) and</w:t>
      </w:r>
      <w:r>
        <w:t xml:space="preserve"> </w:t>
      </w:r>
      <w:r>
        <w:t xml:space="preserve">ANID FONDECYT Postdoctorado 3220094.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df" /><Relationship Type="http://schemas.openxmlformats.org/officeDocument/2006/relationships/image" Id="rId25" Target="media/rId25.pdf" /><Relationship Type="http://schemas.openxmlformats.org/officeDocument/2006/relationships/hyperlink" Id="rId54" Target="https://aclanthology.org/D11-1024/" TargetMode="External" /><Relationship Type="http://schemas.openxmlformats.org/officeDocument/2006/relationships/hyperlink" Id="rId62" Target="https://aclanthology.org/N10-1012/" TargetMode="External" /><Relationship Type="http://schemas.openxmlformats.org/officeDocument/2006/relationships/hyperlink" Id="rId46" Target="https://doi.org/10.1007/978-3-662-44848-9_32" TargetMode="External" /><Relationship Type="http://schemas.openxmlformats.org/officeDocument/2006/relationships/hyperlink" Id="rId74" Target="https://doi.org/10.1038/srep22482" TargetMode="External" /><Relationship Type="http://schemas.openxmlformats.org/officeDocument/2006/relationships/hyperlink" Id="rId50" Target="https://doi.org/10.1109/LGRS.2018.2887112" TargetMode="External" /><Relationship Type="http://schemas.openxmlformats.org/officeDocument/2006/relationships/hyperlink" Id="rId77" Target="https://doi.org/10.1109/TGRS.2017.2715350" TargetMode="External" /><Relationship Type="http://schemas.openxmlformats.org/officeDocument/2006/relationships/hyperlink" Id="rId66" Target="https://doi.org/10.1145/2684822.2685324" TargetMode="External" /><Relationship Type="http://schemas.openxmlformats.org/officeDocument/2006/relationships/hyperlink" Id="rId70" Target="https://doi.org/10.18653/v1/2023.emnlp-main.581" TargetMode="External" /><Relationship Type="http://schemas.openxmlformats.org/officeDocument/2006/relationships/hyperlink" Id="rId39" Target="https://doi.org/10.4231/R7RX991C" TargetMode="External" /><Relationship Type="http://schemas.openxmlformats.org/officeDocument/2006/relationships/hyperlink" Id="rId11" Target="https://github.com/fsantibanezleal/CAOS_LDA_HSI" TargetMode="External" /><Relationship Type="http://schemas.openxmlformats.org/officeDocument/2006/relationships/hyperlink" Id="rId64" Target="https://jmlr.org/papers/v12/pedregosa11a.html" TargetMode="External" /><Relationship Type="http://schemas.openxmlformats.org/officeDocument/2006/relationships/hyperlink" Id="rId41" Target="https://jmlr.org/papers/v3/blei03a.html" TargetMode="External" /><Relationship Type="http://schemas.openxmlformats.org/officeDocument/2006/relationships/hyperlink" Id="rId72" Target="https://jolt.law.harvard.edu/assets/articlePDFs/v31/Counterfactual-Explanations-without-Opening-the-Black-Box-Sandra-Wachter-et-al.pdf" TargetMode="External" /><Relationship Type="http://schemas.openxmlformats.org/officeDocument/2006/relationships/hyperlink" Id="rId52" Target="https://papers.nips.cc/paper/2017/hash/8a20a8621978632d76c43dfd28b67767-Abstract.html" TargetMode="External" /><Relationship Type="http://schemas.openxmlformats.org/officeDocument/2006/relationships/hyperlink" Id="rId48" Target="https://papers.nips.cc/paper/3902-online-learning-for-latent-dirichlet-allocation" TargetMode="External" /><Relationship Type="http://schemas.openxmlformats.org/officeDocument/2006/relationships/hyperlink" Id="rId56" Target="https://www.ehu.eus/ccwintco/index.php/Hyperspectral_Remote_Sensing_Scenes#Botswana" TargetMode="External" /><Relationship Type="http://schemas.openxmlformats.org/officeDocument/2006/relationships/hyperlink" Id="rId58" Target="https://www.ehu.eus/ccwintco/index.php/Hyperspectral_Remote_Sensing_Scenes#Kennedy_Space_Center_.28KSC.29" TargetMode="External" /><Relationship Type="http://schemas.openxmlformats.org/officeDocument/2006/relationships/hyperlink" Id="rId43" Target="https://www.ehu.eus/ccwintco/index.php/Hyperspectral_Remote_Sensing_Scenes#Pavia_Centre_and_University" TargetMode="External" /><Relationship Type="http://schemas.openxmlformats.org/officeDocument/2006/relationships/hyperlink" Id="rId44" Target="https://www.ehu.eus/ccwintco/index.php/Hyperspectral_Remote_Sensing_Scenes#Pavia_University_scene" TargetMode="External" /><Relationship Type="http://schemas.openxmlformats.org/officeDocument/2006/relationships/hyperlink" Id="rId60" Target="https://www.ehu.eus/ccwintco/index.php/Hyperspectral_Remote_Sensing_Scenes#Salinas_scene" TargetMode="External" /><Relationship Type="http://schemas.openxmlformats.org/officeDocument/2006/relationships/hyperlink" Id="rId68" Target="https://www.researchgate.net/publication/3697082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aclanthology.org/D11-1024/" TargetMode="External" /><Relationship Type="http://schemas.openxmlformats.org/officeDocument/2006/relationships/hyperlink" Id="rId62" Target="https://aclanthology.org/N10-1012/" TargetMode="External" /><Relationship Type="http://schemas.openxmlformats.org/officeDocument/2006/relationships/hyperlink" Id="rId46" Target="https://doi.org/10.1007/978-3-662-44848-9_32" TargetMode="External" /><Relationship Type="http://schemas.openxmlformats.org/officeDocument/2006/relationships/hyperlink" Id="rId74" Target="https://doi.org/10.1038/srep22482" TargetMode="External" /><Relationship Type="http://schemas.openxmlformats.org/officeDocument/2006/relationships/hyperlink" Id="rId50" Target="https://doi.org/10.1109/LGRS.2018.2887112" TargetMode="External" /><Relationship Type="http://schemas.openxmlformats.org/officeDocument/2006/relationships/hyperlink" Id="rId77" Target="https://doi.org/10.1109/TGRS.2017.2715350" TargetMode="External" /><Relationship Type="http://schemas.openxmlformats.org/officeDocument/2006/relationships/hyperlink" Id="rId66" Target="https://doi.org/10.1145/2684822.2685324" TargetMode="External" /><Relationship Type="http://schemas.openxmlformats.org/officeDocument/2006/relationships/hyperlink" Id="rId70" Target="https://doi.org/10.18653/v1/2023.emnlp-main.581" TargetMode="External" /><Relationship Type="http://schemas.openxmlformats.org/officeDocument/2006/relationships/hyperlink" Id="rId39" Target="https://doi.org/10.4231/R7RX991C" TargetMode="External" /><Relationship Type="http://schemas.openxmlformats.org/officeDocument/2006/relationships/hyperlink" Id="rId11" Target="https://github.com/fsantibanezleal/CAOS_LDA_HSI" TargetMode="External" /><Relationship Type="http://schemas.openxmlformats.org/officeDocument/2006/relationships/hyperlink" Id="rId64" Target="https://jmlr.org/papers/v12/pedregosa11a.html" TargetMode="External" /><Relationship Type="http://schemas.openxmlformats.org/officeDocument/2006/relationships/hyperlink" Id="rId41" Target="https://jmlr.org/papers/v3/blei03a.html" TargetMode="External" /><Relationship Type="http://schemas.openxmlformats.org/officeDocument/2006/relationships/hyperlink" Id="rId72" Target="https://jolt.law.harvard.edu/assets/articlePDFs/v31/Counterfactual-Explanations-without-Opening-the-Black-Box-Sandra-Wachter-et-al.pdf" TargetMode="External" /><Relationship Type="http://schemas.openxmlformats.org/officeDocument/2006/relationships/hyperlink" Id="rId52" Target="https://papers.nips.cc/paper/2017/hash/8a20a8621978632d76c43dfd28b67767-Abstract.html" TargetMode="External" /><Relationship Type="http://schemas.openxmlformats.org/officeDocument/2006/relationships/hyperlink" Id="rId48" Target="https://papers.nips.cc/paper/3902-online-learning-for-latent-dirichlet-allocation" TargetMode="External" /><Relationship Type="http://schemas.openxmlformats.org/officeDocument/2006/relationships/hyperlink" Id="rId56" Target="https://www.ehu.eus/ccwintco/index.php/Hyperspectral_Remote_Sensing_Scenes#Botswana" TargetMode="External" /><Relationship Type="http://schemas.openxmlformats.org/officeDocument/2006/relationships/hyperlink" Id="rId58" Target="https://www.ehu.eus/ccwintco/index.php/Hyperspectral_Remote_Sensing_Scenes#Kennedy_Space_Center_.28KSC.29" TargetMode="External" /><Relationship Type="http://schemas.openxmlformats.org/officeDocument/2006/relationships/hyperlink" Id="rId43" Target="https://www.ehu.eus/ccwintco/index.php/Hyperspectral_Remote_Sensing_Scenes#Pavia_Centre_and_University" TargetMode="External" /><Relationship Type="http://schemas.openxmlformats.org/officeDocument/2006/relationships/hyperlink" Id="rId44" Target="https://www.ehu.eus/ccwintco/index.php/Hyperspectral_Remote_Sensing_Scenes#Pavia_University_scene" TargetMode="External" /><Relationship Type="http://schemas.openxmlformats.org/officeDocument/2006/relationships/hyperlink" Id="rId60" Target="https://www.ehu.eus/ccwintco/index.php/Hyperspectral_Remote_Sensing_Scenes#Salinas_scene" TargetMode="External" /><Relationship Type="http://schemas.openxmlformats.org/officeDocument/2006/relationships/hyperlink" Id="rId68" Target="https://www.researchgate.net/publication/3697082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Post-hoc Interpretability of LDA on Hyperspectral Imagery: SHAP Attributions, Counterfactual Topic Flips, and LLM-judge Alignment under Token-Mass-Dispersion Asymmetry</dc:title>
  <dc:creator>Felipe Santibáñez-Leal,    </dc:creator>
  <cp:keywords/>
  <dcterms:created xsi:type="dcterms:W3CDTF">2026-06-01T00:02:40Z</dcterms:created>
  <dcterms:modified xsi:type="dcterms:W3CDTF">2026-06-01T00:02:40Z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../../bibliography/refs.bib</vt:lpwstr>
  </property>
</Properties>
</file>