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df" ContentType="application/pdf"/>
  <Override PartName="/word/media/rId1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Band-Mask Robustness Diagnostic for Latent Dirichlet</w:t>
      </w:r>
      <w:r>
        <w:t xml:space="preserve"> </w:t>
      </w:r>
      <w:r>
        <w:t xml:space="preserve">Allocation on Hyperspectral Imagery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Latent Dirichlet Allocation (LDA) and its neural variants are</w:t>
      </w:r>
      <w:r>
        <w:t xml:space="preserve"> </w:t>
      </w:r>
      <w:r>
        <w:t xml:space="preserve">increasingly used as interpretable spectral mixture models on</w:t>
      </w:r>
      <w:r>
        <w:t xml:space="preserve"> </w:t>
      </w:r>
      <w:r>
        <w:t xml:space="preserve">hyperspectral imagery. Their seed and capacity stability has been</w:t>
      </w:r>
      <w:r>
        <w:t xml:space="preserve"> </w:t>
      </w:r>
      <w:r>
        <w:t xml:space="preserve">studied at length; their robustness to the choice of</w:t>
      </w:r>
      <w:r>
        <w:t xml:space="preserve"> </w:t>
      </w:r>
      <w:r>
        <w:rPr>
          <w:i/>
          <w:iCs/>
        </w:rPr>
        <w:t xml:space="preserve">spectral</w:t>
      </w:r>
      <w:r>
        <w:rPr>
          <w:i/>
          <w:iCs/>
        </w:rP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has not. We introduce a band-mask robustness diagnostic that</w:t>
      </w:r>
      <w:r>
        <w:t xml:space="preserve"> </w:t>
      </w:r>
      <w:r>
        <w:t xml:space="preserve">refits a canonical LDA model under four band-restriction policies</w:t>
      </w:r>
      <w:r>
        <w:t xml:space="preserve"> </w:t>
      </w:r>
      <w:r>
        <w:t xml:space="preserve">(VNIR-only, SWIR-only, atmospheric-water-band removal, top-50 Fisher</w:t>
      </w:r>
      <w:r>
        <w:t xml:space="preserve"> </w:t>
      </w:r>
      <w:r>
        <w:t xml:space="preserve">discriminant) and compares the masked dominant-topic maps against the</w:t>
      </w:r>
      <w:r>
        <w:t xml:space="preserve"> </w:t>
      </w:r>
      <w:r>
        <w:t xml:space="preserve">canonical fit via the adjusted Rand index after a Hungarian topic-id</w:t>
      </w:r>
      <w:r>
        <w:t xml:space="preserve"> </w:t>
      </w:r>
      <w:r>
        <w:t xml:space="preserve">alignment. Applied to six standard hyperspectral scenes (Indian</w:t>
      </w:r>
      <w:r>
        <w:t xml:space="preserve"> </w:t>
      </w:r>
      <w:r>
        <w:t xml:space="preserve">Pines, Salinas, Salinas-A, Pavia U, Kennedy Space Center, Botswana)</w:t>
      </w:r>
      <w:r>
        <w:t xml:space="preserve"> </w:t>
      </w:r>
      <w:r>
        <w:t xml:space="preserve">and five HIDSAG mineral subsets, the diagnostic yields a striking</w:t>
      </w:r>
      <w:r>
        <w:t xml:space="preserve"> </w:t>
      </w:r>
      <w:r>
        <w:t xml:space="preserve">result: topic identities on Salinas-A under SWIR-only restriction</w:t>
      </w:r>
      <w:r>
        <w:t xml:space="preserve"> </w:t>
      </w:r>
      <w:r>
        <w:t xml:space="preserve">recover the canonical assignment with paired ARI </w:t>
      </w:r>
      <m:oMath>
        <m:r>
          <m:rPr>
            <m:sty m:val="p"/>
          </m:rPr>
          <m:t>=</m:t>
        </m:r>
        <m:r>
          <m:t>0.77</m:t>
        </m:r>
      </m:oMath>
      <w:r>
        <w:t xml:space="preserve">, while</w:t>
      </w:r>
      <w:r>
        <w:t xml:space="preserve"> </w:t>
      </w:r>
      <w:r>
        <w:t xml:space="preserve">KSC and Botswana paired ARI is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under every mask.</w:t>
      </w:r>
      <w:r>
        <w:t xml:space="preserve"> </w:t>
      </w:r>
      <w:r>
        <w:t xml:space="preserve">The diagnostic therefore separates scenes on which any</w:t>
      </w:r>
      <w:r>
        <w:t xml:space="preserve"> </w:t>
      </w:r>
      <w:r>
        <w:t xml:space="preserve">“interpretable spectral mixture”</w:t>
      </w:r>
      <w:r>
        <w:t xml:space="preserve"> </w:t>
      </w:r>
      <w:r>
        <w:t xml:space="preserve">claim is band-robust from scenes</w:t>
      </w:r>
      <w:r>
        <w:t xml:space="preserve"> </w:t>
      </w:r>
      <w:r>
        <w:t xml:space="preserve">on which it is not. We release the full sweep (20+24 LDA refits)</w:t>
      </w:r>
      <w:r>
        <w:t xml:space="preserve"> </w:t>
      </w:r>
      <w:r>
        <w:t xml:space="preserve">as a public, deterministic artefact set under a permissive licence</w:t>
      </w:r>
      <w:r>
        <w:t xml:space="preserve"> </w:t>
      </w:r>
      <w:r>
        <w:t xml:space="preserve">to support follow-on work.</w:t>
      </w:r>
    </w:p>
    <w:p>
      <w:pPr>
        <w:pStyle w:val="FirstParagraph"/>
      </w:pPr>
      <w:r>
        <w:t xml:space="preserve">hyperspectral imagery, latent Dirichlet allocation, topic models,</w:t>
      </w:r>
      <w:r>
        <w:t xml:space="preserve"> </w:t>
      </w:r>
      <w:r>
        <w:t xml:space="preserve">band selection, reproducibility, adjusted Rand index, Hungarian</w:t>
      </w:r>
      <w:r>
        <w:t xml:space="preserve"> </w:t>
      </w:r>
      <w:r>
        <w:t xml:space="preserve">alignment, robustness.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Topic modelling, in particular Latent Dirichlet Allocation</w:t>
      </w:r>
      <w:r>
        <w:t xml:space="preserve"> </w:t>
      </w:r>
      <w:r>
        <w:t xml:space="preserve">(Blei et al. 2003)</w:t>
      </w:r>
      <w:r>
        <w:t xml:space="preserve">, has been adapted to hyperspectral imagery (HSI)</w:t>
      </w:r>
      <w:r>
        <w:t xml:space="preserve"> </w:t>
      </w:r>
      <w:r>
        <w:t xml:space="preserve">as a route to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spectral mixtures: each pixel</w:t>
      </w:r>
      <w:r>
        <w:t xml:space="preserve"> </w:t>
      </w:r>
      <w:r>
        <w:t xml:space="preserve">becomes a document of quantised band-frequency tokens, and the</w:t>
      </w:r>
      <w:r>
        <w:t xml:space="preserve"> </w:t>
      </w:r>
      <w:r>
        <w:t xml:space="preserve">inferred 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act as basis spectra in</w:t>
      </w:r>
      <w:r>
        <w:t xml:space="preserve"> </w:t>
      </w:r>
      <w:r>
        <w:t xml:space="preserve">a non-negative simplex. The approach yields per-pixel posterior</w:t>
      </w:r>
      <w:r>
        <w:t xml:space="preserve"> </w:t>
      </w:r>
      <w:r>
        <w:t xml:space="preserve">mixtures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</m:rPr>
              <m:t>Δ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that admit several downstream</w:t>
      </w:r>
      <w:r>
        <w:t xml:space="preserve"> </w:t>
      </w:r>
      <w:r>
        <w:t xml:space="preserve">uses — as features for a linear classifier, as a soft gate over</w:t>
      </w:r>
      <w:r>
        <w:t xml:space="preserve"> </w:t>
      </w:r>
      <w:r>
        <w:t xml:space="preserve">per-topic specialists, or as a mineralogical fingerprint when the</w:t>
      </w:r>
      <w:r>
        <w:t xml:space="preserve"> </w:t>
      </w:r>
      <w:r>
        <w:t xml:space="preserve">basis spectra align with reference libraries</w:t>
      </w:r>
      <w:r>
        <w:t xml:space="preserve"> </w:t>
      </w:r>
      <w:r>
        <w:t xml:space="preserve">(Zou and Zare 2017; Liu et al. 2019; Bioucas-Dias et al. 2012)</w:t>
      </w:r>
      <w:r>
        <w:t xml:space="preserve">.</w:t>
      </w:r>
    </w:p>
    <w:p>
      <w:pPr>
        <w:pStyle w:val="BodyText"/>
      </w:pPr>
      <w:r>
        <w:t xml:space="preserve">The literature on the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of these topic recoveries</w:t>
      </w:r>
      <w:r>
        <w:t xml:space="preserve"> </w:t>
      </w:r>
      <w:r>
        <w:t xml:space="preserve">has focused on two axes: (i) seed-to-seed variation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(ii) the choice of capacity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that a third axis — robustness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 </w:t>
      </w:r>
      <w:r>
        <w:t xml:space="preserve">— is at least as informative and is rarely</w:t>
      </w:r>
      <w:r>
        <w:t xml:space="preserve"> </w:t>
      </w:r>
      <w:r>
        <w:t xml:space="preserve">reported. A topic basis that flips identity when one removes the</w:t>
      </w:r>
      <w:r>
        <w:t xml:space="preserve"> </w:t>
      </w:r>
      <w:r>
        <w:t xml:space="preserve">atmospheric water bands, or when only VNIR or SWIR is retained,</w:t>
      </w:r>
      <w:r>
        <w:t xml:space="preserve"> </w:t>
      </w:r>
      <w:r>
        <w:t xml:space="preserve">provides weak grounds for claims like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interpretable as</w:t>
      </w:r>
      <w:r>
        <w:t xml:space="preserve"> </w:t>
      </w:r>
      <w:r>
        <w:t xml:space="preserve">canopy water content”</w:t>
      </w:r>
      <w:r>
        <w:t xml:space="preserve">. Conversely, a topic basis whose identity</w:t>
      </w:r>
      <w:r>
        <w:t xml:space="preserve"> </w:t>
      </w:r>
      <w:r>
        <w:t xml:space="preserve">survives a substantial band restriction is materially more</w:t>
      </w:r>
      <w:r>
        <w:t xml:space="preserve"> </w:t>
      </w:r>
      <w:r>
        <w:t xml:space="preserve">trustworthy than one that does not.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band-mask robustness diagnostic</w:t>
      </w:r>
      <w:r>
        <w:t xml:space="preserve"> </w:t>
      </w:r>
      <w:r>
        <w:t xml:space="preserve">for LDA on HSI:</w:t>
      </w:r>
      <w:r>
        <w:t xml:space="preserve"> </w:t>
      </w:r>
      <w:r>
        <w:t xml:space="preserve">four band-restriction policies, refit canonical-</w:t>
      </w:r>
      <m:oMath>
        <m:r>
          <m:t>K</m:t>
        </m:r>
      </m:oMath>
      <w:r>
        <w:t xml:space="preserve"> </w:t>
      </w:r>
      <w:r>
        <w:t xml:space="preserve">LDA on each, and</w:t>
      </w:r>
      <w:r>
        <w:t xml:space="preserve"> </w:t>
      </w:r>
      <w:r>
        <w:t xml:space="preserve">compare against the canonical (no-mask) fit using the adjusted Rand</w:t>
      </w:r>
      <w:r>
        <w:t xml:space="preserve"> </w:t>
      </w:r>
      <w:r>
        <w:t xml:space="preserve">index of the dominant-topic maps after a Hungarian topic-id</w:t>
      </w:r>
      <w:r>
        <w:t xml:space="preserve"> </w:t>
      </w:r>
      <w:r>
        <w:t xml:space="preserve">alignment.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sweep</w:t>
      </w:r>
      <w:r>
        <w:t xml:space="preserve"> </w:t>
      </w:r>
      <w:r>
        <w:t xml:space="preserve">across six standard hyperspectral</w:t>
      </w:r>
      <w:r>
        <w:t xml:space="preserve"> </w:t>
      </w:r>
      <w:r>
        <w:t xml:space="preserve">benchmarks and five HIDSAG mineral subsets, totalling 44 refits.</w:t>
      </w:r>
      <w:r>
        <w:t xml:space="preserve"> </w:t>
      </w:r>
      <w:r>
        <w:t xml:space="preserve">The sweep reveals a sharp split between scenes whose canonical</w:t>
      </w:r>
      <w:r>
        <w:t xml:space="preserve"> </w:t>
      </w:r>
      <w:r>
        <w:t xml:space="preserve">topics are band-robust (paired ARI 0.4–0.77) and scenes whose</w:t>
      </w:r>
      <w:r>
        <w:t xml:space="preserve"> </w:t>
      </w:r>
      <w:r>
        <w:t xml:space="preserve">topics are band-fragile (paired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public, deterministic artefact set</w:t>
      </w:r>
      <w:r>
        <w:t xml:space="preserve"> </w:t>
      </w:r>
      <w:r>
        <w:t xml:space="preserve">(1726+ JSON and</w:t>
      </w:r>
      <w:r>
        <w:t xml:space="preserve"> </w:t>
      </w:r>
      <w:r>
        <w:t xml:space="preserve">binary files, including the dominant-topic maps, the per-pixel</w:t>
      </w:r>
      <w:r>
        <w:t xml:space="preserve"> </w:t>
      </w:r>
      <w:r>
        <w:t xml:space="preserve">posteriors </w:t>
      </w:r>
      <m:oMath>
        <m:r>
          <m:t>θ</m:t>
        </m:r>
      </m:oMath>
      <w:r>
        <w:t xml:space="preserve">, the per-topic label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the full Hungarian alignment per (scene, mask)</w:t>
      </w:r>
      <w:r>
        <w:t xml:space="preserve"> </w:t>
      </w:r>
      <w:r>
        <w:t xml:space="preserve">tuple), served by a FastAPI backend and verified by a</w:t>
      </w:r>
      <w:r>
        <w:t xml:space="preserve"> </w:t>
      </w:r>
      <w:r>
        <w:t xml:space="preserve">109-endpoint smoke harness.</w:t>
      </w:r>
    </w:p>
    <w:p>
      <w:pPr>
        <w:pStyle w:val="FirstParagraph"/>
      </w:pPr>
      <w:r>
        <w:t xml:space="preserve">The rest of the paper is organised as follows. Section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describes the diagnostic.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</w:t>
      </w:r>
      <w:r>
        <w:t xml:space="preserve"> </w:t>
      </w:r>
      <w:r>
        <w:t xml:space="preserve">experimental setup (canonical LDA fit, four masks, evaluation</w:t>
      </w:r>
      <w:r>
        <w:t xml:space="preserve"> </w:t>
      </w:r>
      <w:r>
        <w:t xml:space="preserve">metrics). Section 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presents the band-mask paired</w:t>
      </w:r>
      <w:r>
        <w:t xml:space="preserve"> </w:t>
      </w:r>
      <w:r>
        <w:t xml:space="preserve">ARI surface across labelled and HIDSAG scenes. Section </w:t>
      </w:r>
      <w:hyperlink w:anchor="sec:discu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discusses the implications for any topic-based interpretability claim</w:t>
      </w:r>
      <w:r>
        <w:t xml:space="preserve"> </w:t>
      </w:r>
      <w:r>
        <w:t xml:space="preserve">on HSI. 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artefacts. Section </w:t>
      </w:r>
      <w:hyperlink w:anchor="sec:conclu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concludes.</w:t>
      </w:r>
    </w:p>
    <w:bookmarkEnd w:id="9"/>
    <w:bookmarkStart w:id="13" w:name="sec:method"/>
    <w:p>
      <w:pPr>
        <w:pStyle w:val="Heading1"/>
      </w:pPr>
      <w:r>
        <w:t xml:space="preserve">Method: band-mask robustness diagnostic</w:t>
      </w:r>
    </w:p>
    <w:bookmarkStart w:id="10" w:name="canonical-fit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be a stratified sample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labelled-pixel spectra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We tokenise each pixel</w:t>
      </w:r>
      <w:r>
        <w:t xml:space="preserve"> </w:t>
      </w:r>
      <w:r>
        <w:t xml:space="preserve">into a discrete band-frequency document using the V1 recipe of the</w:t>
      </w:r>
      <w:r>
        <w:t xml:space="preserve"> </w:t>
      </w:r>
      <w:r>
        <w:t xml:space="preserve">companion code repository</w:t>
      </w:r>
      <w:r>
        <w:t xml:space="preserve"> </w:t>
      </w:r>
      <w:r>
        <w:t xml:space="preserve">(Plaza et al. 2009)</w:t>
      </w:r>
      <w:r>
        <w:t xml:space="preserve">: each spectrum is</w:t>
      </w:r>
      <w:r>
        <w:t xml:space="preserve"> </w:t>
      </w:r>
      <w:r>
        <w:t xml:space="preserve">min-max normalised 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</w:t>
      </w:r>
      <w:r>
        <w:t xml:space="preserve"> </w:t>
      </w:r>
      <w:r>
        <w:t xml:space="preserve">yielding 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</w:t>
      </w:r>
      <w:r>
        <w:t xml:space="preserve"> </w:t>
      </w:r>
      <w:r>
        <w:t xml:space="preserve">resulting doc-term matrix is fit with the online variational Bayes</w:t>
      </w:r>
      <w:r>
        <w:t xml:space="preserve"> </w:t>
      </w:r>
      <w:r>
        <w:t xml:space="preserve">LDA of Hoffman, Blei, and Bach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as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 </w:t>
      </w:r>
      <w:r>
        <w:t xml:space="preserve">(Pedregosa et al. 2011)</w:t>
      </w:r>
      <w:r>
        <w:t xml:space="preserve"> </w:t>
      </w:r>
      <w:r>
        <w:t xml:space="preserve">with</w:t>
      </w:r>
      <w:r>
        <w:t xml:space="preserve"> </w:t>
      </w:r>
      <w:r>
        <w:t xml:space="preserve">the following hyperparameters held fixed across all refits:</w:t>
      </w:r>
    </w:p>
    <w:p>
      <w:pPr>
        <w:numPr>
          <w:ilvl w:val="0"/>
          <w:numId w:val="1002"/>
        </w:numPr>
      </w:pP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θ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ϕ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</w:t>
      </w:r>
    </w:p>
    <w:p>
      <w:pPr>
        <w:numPr>
          <w:ilvl w:val="0"/>
          <w:numId w:val="1002"/>
        </w:numPr>
      </w:pPr>
      <w:r>
        <w:t xml:space="preserve">random seed</w:t>
      </w:r>
      <w:r>
        <w:t xml:space="preserve"> </w:t>
      </w:r>
      <m:oMath>
        <m:r>
          <m:rPr>
            <m:sty m:val="p"/>
          </m:rPr>
          <m:t>=</m:t>
        </m:r>
        <m:r>
          <m:t>42</m:t>
        </m:r>
      </m:oMath>
      <w:r>
        <w:t xml:space="preserve">, samples-per-class</w:t>
      </w:r>
      <w:r>
        <w:t xml:space="preserve"> </w:t>
      </w:r>
      <m:oMath>
        <m:r>
          <m:rPr>
            <m:sty m:val="p"/>
          </m:rPr>
          <m:t>=</m:t>
        </m:r>
        <m:r>
          <m:t>220</m:t>
        </m:r>
      </m:oMath>
      <w:r>
        <w:t xml:space="preserve">.</w:t>
      </w:r>
    </w:p>
    <w:p>
      <w:pPr>
        <w:pStyle w:val="FirstParagraph"/>
      </w:pPr>
      <w:r>
        <w:t xml:space="preserve">The canonical fit yields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(the</w:t>
      </w:r>
      <w:r>
        <w:t xml:space="preserve"> </w:t>
      </w:r>
      <w:r>
        <w:t xml:space="preserve">topic–word distributions, equivalently the basis spectra) and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(the per-document posterior</w:t>
      </w:r>
      <w:r>
        <w:t xml:space="preserve"> </w:t>
      </w:r>
      <w:r>
        <w:t xml:space="preserve">simplex). The per-pixel dominant topic is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0"/>
    <w:bookmarkStart w:id="11" w:name="band-mask-sweep"/>
    <w:p>
      <w:pPr>
        <w:pStyle w:val="Heading2"/>
      </w:pPr>
      <w:r>
        <w:t xml:space="preserve">Band-mask sweep</w:t>
      </w:r>
    </w:p>
    <w:p>
      <w:pPr>
        <w:pStyle w:val="FirstParagraph"/>
      </w:pPr>
      <w:r>
        <w:t xml:space="preserve">A mask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True</m:t>
        </m:r>
        <m:r>
          <m:rPr>
            <m:sty m:val="p"/>
          </m:rPr>
          <m:t>,</m:t>
        </m:r>
        <m:r>
          <m:rPr>
            <m:nor/>
            <m:sty m:val="p"/>
          </m:rPr>
          <m:t>False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which bands enter the doc-term matrix. We evaluate four</w:t>
      </w:r>
      <w:r>
        <w:t xml:space="preserve"> </w:t>
      </w:r>
      <w:r>
        <w:t xml:space="preserve">masks: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VNIR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SWIR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No-water</w:t>
      </w:r>
      <w:r>
        <w:t xml:space="preserve">: 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</w:t>
      </w:r>
      <w:r>
        <w:t xml:space="preserve"> </w:t>
      </w:r>
      <w:r>
        <w:t xml:space="preserve">(atmospheric water-vapour absorption bands),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Top-50 Fisher</w:t>
      </w:r>
      <w:r>
        <w:t xml:space="preserve">: keep the 50 bands with the highest</w:t>
      </w:r>
      <w:r>
        <w:t xml:space="preserve"> </w:t>
      </w:r>
      <w:r>
        <w:t xml:space="preserve">per-band Fisher discriminant ratio against the ground-truth label</w:t>
      </w:r>
      <w:r>
        <w:t xml:space="preserve"> </w:t>
      </w:r>
      <w:r>
        <w:t xml:space="preserve">(uses the unmasked spectrum’s Fisher ranking; a clean information-</w:t>
      </w:r>
      <w:r>
        <w:t xml:space="preserve"> </w:t>
      </w:r>
      <w:r>
        <w:t xml:space="preserve">theoretic ablation is out of scope of the diagnostic).</w:t>
      </w:r>
    </w:p>
    <w:p>
      <w:pPr>
        <w:pStyle w:val="FirstParagraph"/>
      </w:pPr>
      <w:r>
        <w:t xml:space="preserve">For each mask we refit LDA on the restricted doc-term matrix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hyperparameters as the canonical fit, so only the</w:t>
      </w:r>
      <w:r>
        <w:t xml:space="preserve"> </w:t>
      </w:r>
      <w:r>
        <w:t xml:space="preserve">band axis differs. The masked fit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1"/>
    <w:bookmarkStart w:id="12" w:name="paired-ari-under-hungarian-alignment"/>
    <w:p>
      <w:pPr>
        <w:pStyle w:val="Heading2"/>
      </w:pPr>
      <w:r>
        <w:t xml:space="preserve">Paired ARI under Hungarian alignment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 pixels labelled in both the</w:t>
      </w:r>
      <w:r>
        <w:t xml:space="preserve"> </w:t>
      </w:r>
      <w:r>
        <w:t xml:space="preserve">canonical and masked maps (in practice both share the same labelled</w:t>
      </w:r>
      <w:r>
        <w:t xml:space="preserve"> </w:t>
      </w:r>
      <w:r>
        <w:t xml:space="preserve">mask). 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ARI is the standard chance-corrected agreement of</w:t>
      </w:r>
      <w:r>
        <w:t xml:space="preserve"> </w:t>
      </w:r>
      <w:r>
        <w:t xml:space="preserve">(Hubert and Arabie 1985; Vinh et al. 2010)</w:t>
      </w:r>
      <w:r>
        <w:t xml:space="preserve">.</w:t>
      </w:r>
    </w:p>
    <w:p>
      <w:pPr>
        <w:pStyle w:val="BodyText"/>
      </w:pPr>
      <w:r>
        <w:t xml:space="preserve">Because ARI is invariant to topic-id permutations, it summarises</w:t>
      </w:r>
      <w:r>
        <w:t xml:space="preserve"> </w:t>
      </w:r>
      <w:r>
        <w:t xml:space="preserve">“how much did the clustering change”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“which masked topic</w:t>
      </w:r>
      <w:r>
        <w:t xml:space="preserve"> </w:t>
      </w:r>
      <w:r>
        <w:t xml:space="preserve">corresponds to which canonical topic”</w:t>
      </w:r>
      <w:r>
        <w:t xml:space="preserve">. For the latter we compute</w:t>
      </w:r>
      <w:r>
        <w:t xml:space="preserve"> </w:t>
      </w:r>
      <w:r>
        <w:t xml:space="preserve">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and solve the maximum-weight assignment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via the Hungarian algorithm</w:t>
      </w:r>
      <w:r>
        <w:t xml:space="preserve"> </w:t>
      </w:r>
      <w:r>
        <w:t xml:space="preserve">(Kuhn 1955; 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swap_rate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</w:t>
      </w:r>
      <w:r>
        <w:t xml:space="preserve"> </w:t>
      </w:r>
      <w:r>
        <w:t xml:space="preserve">after the masked topic ids have been relabelled to maximise agreement</w:t>
      </w:r>
      <w:r>
        <w:t xml:space="preserve"> </w:t>
      </w:r>
      <w:r>
        <w:t xml:space="preserve">with the canonical map. The paired ARI summarises gross agreement;</w:t>
      </w:r>
      <w:r>
        <w:t xml:space="preserve"> </w:t>
      </w:r>
      <w:r>
        <w:t xml:space="preserve">the swap rate isolates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disagreement that survives</w:t>
      </w:r>
      <w:r>
        <w:t xml:space="preserve"> </w:t>
      </w:r>
      <w:r>
        <w:t xml:space="preserve">permutation realignment.</w:t>
      </w:r>
    </w:p>
    <w:bookmarkEnd w:id="12"/>
    <w:bookmarkEnd w:id="13"/>
    <w:bookmarkStart w:id="16" w:name="sec:setup"/>
    <w:p>
      <w:pPr>
        <w:pStyle w:val="Heading1"/>
      </w:pPr>
      <w:r>
        <w:t xml:space="preserve">Experimental setup</w:t>
      </w:r>
    </w:p>
    <w:bookmarkStart w:id="14" w:name="scenes-and-subsets"/>
    <w:p>
      <w:pPr>
        <w:pStyle w:val="Heading2"/>
      </w:pPr>
      <w:r>
        <w:t xml:space="preserve">Scenes and subsets</w:t>
      </w:r>
    </w:p>
    <w:p>
      <w:pPr>
        <w:pStyle w:val="FirstParagraph"/>
      </w:pPr>
      <w:r>
        <w:t xml:space="preserve">We evaluate on the six standard labelled HSI benchmarks of the</w:t>
      </w:r>
      <w:r>
        <w:t xml:space="preserve"> </w:t>
      </w:r>
      <w:r>
        <w:t xml:space="preserve">UPV/EHU Hyperspectral Remote Sensing Scenes 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Indian Pines</w:t>
      </w:r>
      <w:r>
        <w:t xml:space="preserve"> </w:t>
      </w:r>
      <w:r>
        <w:t xml:space="preserve">(200 bands after correction,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</w:t>
      </w:r>
      <w:r>
        <w:t xml:space="preserve"> </w:t>
      </w:r>
      <w:r>
        <w:t xml:space="preserve">(204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Salinas-A</w:t>
      </w:r>
      <w:r>
        <w:t xml:space="preserve"> </w:t>
      </w:r>
      <w:r>
        <w:t xml:space="preserve">(204 bands,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, 6 classes;</w:t>
      </w:r>
      <w:r>
        <w:t xml:space="preserve"> </w:t>
      </w:r>
      <w:r>
        <w:t xml:space="preserve">a subset of Salinas),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Pavia University</w:t>
      </w:r>
      <w:r>
        <w:t xml:space="preserve"> </w:t>
      </w:r>
      <w:r>
        <w:t xml:space="preserve">(103 bands,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,</w:t>
      </w:r>
      <w:r>
        <w:t xml:space="preserve"> </w:t>
      </w:r>
      <w:r>
        <w:t xml:space="preserve">9 classes; VNIR-only),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Kennedy Space Center</w:t>
      </w:r>
      <w:r>
        <w:t xml:space="preserve"> </w:t>
      </w:r>
      <w:r>
        <w:t xml:space="preserve">(176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,</w:t>
      </w:r>
      <w:r>
        <w:t xml:space="preserve"> </w:t>
      </w:r>
      <w:r>
        <w:t xml:space="preserve">13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Botswana</w:t>
      </w:r>
      <w:r>
        <w:t xml:space="preserve"> </w:t>
      </w:r>
      <w:r>
        <w:t xml:space="preserve">(145 bands,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, 14 classes).</w:t>
      </w:r>
    </w:p>
    <w:p>
      <w:pPr>
        <w:pStyle w:val="FirstParagraph"/>
      </w:pPr>
      <w:r>
        <w:t xml:space="preserve">The Pavia U scene is VNIR-only by sensor design and therefore</w:t>
      </w:r>
      <w:r>
        <w:t xml:space="preserve"> </w:t>
      </w:r>
      <w:r>
        <w:t xml:space="preserve">auto-skips the SWIR mask (zero bands kept after restriction); all</w:t>
      </w:r>
      <w:r>
        <w:t xml:space="preserve"> </w:t>
      </w:r>
      <w:r>
        <w:t xml:space="preserve">remaining 23 (scene, mask) tuples produce a valid refit.</w:t>
      </w:r>
    </w:p>
    <w:p>
      <w:pPr>
        <w:pStyle w:val="BodyText"/>
      </w:pPr>
      <w:r>
        <w:t xml:space="preserve">We additionally evaluate on five HIDSAG mineral subsets</w:t>
      </w:r>
      <w:r>
        <w:t xml:space="preserve"> </w:t>
      </w:r>
      <w:r>
        <w:t xml:space="preserve">(Ehrenfeld et al. 2023; Ehrenfeld 2023)</w:t>
      </w:r>
      <w:r>
        <w:t xml:space="preserve"> </w:t>
      </w:r>
      <w:r>
        <w:t xml:space="preserve">(GEOMET, MINERAL1, MINERAL2,</w:t>
      </w:r>
      <w:r>
        <w:t xml:space="preserve"> </w:t>
      </w:r>
      <w:r>
        <w:t xml:space="preserve">GEOCHEM, PORPHYRY) under the same four masks.</w:t>
      </w:r>
      <w:r>
        <w:t xml:space="preserve"> </w:t>
      </w:r>
      <w:r>
        <w:t xml:space="preserve">HIDSAG documents are mean spectra per (sample, measurement, cube)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 Where the labelled-scene Fisher</w:t>
      </w:r>
      <w:r>
        <w:t xml:space="preserve"> </w:t>
      </w:r>
      <w:r>
        <w:t xml:space="preserve">mask uses per-pixel label, the HIDSAG variant uses</w:t>
      </w:r>
      <w:r>
        <w:t xml:space="preserve"> </w:t>
      </w:r>
      <w:r>
        <w:rPr>
          <w:i/>
          <w:iCs/>
        </w:rPr>
        <w:t xml:space="preserve">between-covariate variance share</w:t>
      </w:r>
      <w:r>
        <w:t xml:space="preserve"> </w:t>
      </w:r>
      <w:r>
        <w:t xml:space="preserve">(a clustering-discriminative</w:t>
      </w:r>
      <w:r>
        <w:t xml:space="preserve"> </w:t>
      </w:r>
      <w:r>
        <w:t xml:space="preserve">proxy, since HIDSAG has no per-pixel ground truth).</w:t>
      </w:r>
    </w:p>
    <w:bookmarkEnd w:id="14"/>
    <w:bookmarkStart w:id="15" w:name="metrics-reported"/>
    <w:p>
      <w:pPr>
        <w:pStyle w:val="Heading2"/>
      </w:pPr>
      <w:r>
        <w:t xml:space="preserve">Metrics reported</w:t>
      </w:r>
    </w:p>
    <w:p>
      <w:pPr>
        <w:pStyle w:val="FirstParagraph"/>
      </w:pPr>
      <w:r>
        <w:t xml:space="preserve">For every (scene, mask) tuple we report:</w:t>
      </w:r>
      <w:r>
        <w:t xml:space="preserve"> </w:t>
      </w:r>
      <w:r>
        <w:t xml:space="preserve">(i) the paired ARI 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;</w:t>
      </w:r>
      <w:r>
        <w:t xml:space="preserve"> </w:t>
      </w:r>
      <w:r>
        <w:t xml:space="preserve">(ii) the swap rate under Hungarian alignment of Equation </w:t>
      </w:r>
      <w:hyperlink w:anchor="eq:swap-rate">
        <w:r>
          <w:rPr>
            <w:rStyle w:val="Hyperlink"/>
          </w:rPr>
          <w:t xml:space="preserve">[eq:swap-rate]</w:t>
        </w:r>
      </w:hyperlink>
      <w:r>
        <w:t xml:space="preserve">;</w:t>
      </w:r>
      <w:r>
        <w:t xml:space="preserve"> </w:t>
      </w:r>
      <w:r>
        <w:t xml:space="preserve">(iii) the train-set perplexity of the masked fit;</w:t>
      </w:r>
      <w:r>
        <w:t xml:space="preserve"> </w:t>
      </w:r>
      <w:r>
        <w:t xml:space="preserve">(iv) the ARI of the masked dominant-topic map against the</w:t>
      </w:r>
      <w:r>
        <w:t xml:space="preserve"> </w:t>
      </w:r>
      <w:r>
        <w:t xml:space="preserve">ground-truth label (a sanity check that the masked fit still</w:t>
      </w:r>
      <w:r>
        <w:t xml:space="preserve"> </w:t>
      </w:r>
      <w:r>
        <w:t xml:space="preserve">discriminates the same classes as the canonical fit).</w:t>
      </w:r>
    </w:p>
    <w:bookmarkEnd w:id="15"/>
    <w:bookmarkEnd w:id="16"/>
    <w:bookmarkStart w:id="27" w:name="sec:results"/>
    <w:p>
      <w:pPr>
        <w:pStyle w:val="Heading1"/>
      </w:pPr>
      <w:r>
        <w:t xml:space="preserve">Results</w:t>
      </w:r>
    </w:p>
    <w:bookmarkStart w:id="20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aired-ari-heatmap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ARI across (scene, mask) tuples on the six labelled</w:t>
      </w:r>
      <w:r>
        <w:t xml:space="preserve"> </w:t>
      </w:r>
      <w:r>
        <w:t xml:space="preserve">benchmarks. KSC and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masks; Salinas-A under SWIR-only reaches</w:t>
      </w:r>
      <w:r>
        <w:t xml:space="preserve"> </w:t>
      </w:r>
      <m:oMath>
        <m:r>
          <m:t>0.77</m:t>
        </m:r>
      </m:oMath>
      <w:r>
        <w:t xml:space="preserve">.</w:t>
      </w:r>
    </w:p>
    <w:bookmarkEnd w:id="20"/>
    <w:p>
      <w:pPr>
        <w:pStyle w:val="BodyText"/>
      </w:pPr>
      <w:r>
        <w:t xml:space="preserve">Table </w:t>
      </w:r>
      <w:hyperlink w:anchor="tab:paired-ar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paired ARI per (scene, mask)</w:t>
      </w:r>
      <w:r>
        <w:t xml:space="preserve"> </w:t>
      </w:r>
      <w:r>
        <w:t xml:space="preserve">tuple. Figure </w:t>
      </w:r>
      <w:hyperlink w:anchor="fig:paired-ari-heatma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visualises the same</w:t>
      </w:r>
      <w:r>
        <w:t xml:space="preserve"> </w:t>
      </w:r>
      <w:r>
        <w:t xml:space="preserve">surface.</w:t>
      </w:r>
    </w:p>
    <w:bookmarkStart w:id="21" w:name="tab:paired-ari"/>
    <w:p>
      <w:pPr>
        <w:pStyle w:val="TableCaption"/>
      </w:pPr>
      <w:r>
        <w:t xml:space="preserve">Paired ARI (canonical vs masked dominant-topic maps) for</w:t>
      </w:r>
      <w:r>
        <w:t xml:space="preserve"> </w:t>
      </w:r>
      <w:r>
        <w:t xml:space="preserve">the 23 successful labelled-scene tuples. Pavia 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</w:t>
      </w:r>
      <w:r>
        <w:t xml:space="preserve"> </w:t>
      </w:r>
      <w:r>
        <w:t xml:space="preserve">auto-skipped (VNIR-only sensor).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ARI (canonical vs masked dominant-topic maps) for the 23 successful labelled-scene tuples. Pavia U \times SWIR is auto-skipped (VNIR-only senso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 Fisher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</w:tbl>
    <w:bookmarkEnd w:id="21"/>
    <w:p>
      <w:pPr>
        <w:pStyle w:val="BodyText"/>
      </w:pPr>
      <w:r>
        <w:t xml:space="preserve">The dominant observation is 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Band-fragile</w:t>
      </w:r>
      <w:r>
        <w:t xml:space="preserve">: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 masks — i.e. the masked LDA assigns</w:t>
      </w:r>
      <w:r>
        <w:t xml:space="preserve"> </w:t>
      </w:r>
      <w:r>
        <w:t xml:space="preserve">pixels to topics with at most chance-level agreement with the</w:t>
      </w:r>
      <w:r>
        <w:t xml:space="preserve"> </w:t>
      </w:r>
      <w:r>
        <w:t xml:space="preserve">canonical fit. Botswana sits in the same regime save for VNIR and</w:t>
      </w:r>
      <w:r>
        <w:t xml:space="preserve"> </w:t>
      </w:r>
      <w:r>
        <w:t xml:space="preserve">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 well below the labelled-scene</w:t>
      </w:r>
      <w:r>
        <w:t xml:space="preserve"> </w:t>
      </w:r>
      <w:r>
        <w:t xml:space="preserve">average. The canonical-fit topic 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 reasonable band subset.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Band-robust</w:t>
      </w:r>
      <w:r>
        <w:t xml:space="preserve">: Salinas-A under SWIR-only reaches paired</w:t>
      </w:r>
      <w:r>
        <w:t xml:space="preserve"> </w:t>
      </w:r>
      <w:r>
        <w:t xml:space="preserve">ARI </w:t>
      </w:r>
      <m:oMath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t xml:space="preserve">— the masked fit recovers nearly the same partition.</w:t>
      </w:r>
      <w:r>
        <w:t xml:space="preserve"> </w:t>
      </w:r>
      <w:r>
        <w:t xml:space="preserve">The remaining tuples on Indian Pines, Salinas, Salinas-A, and</w:t>
      </w:r>
      <w:r>
        <w:t xml:space="preserve"> </w:t>
      </w:r>
      <w:r>
        <w:t xml:space="preserve">Pavia U cluster in the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, indicating partial</w:t>
      </w:r>
      <w:r>
        <w:t xml:space="preserve"> </w:t>
      </w:r>
      <w:r>
        <w:t xml:space="preserve">robustness: the topics deform but maintain a measurable correlation</w:t>
      </w:r>
      <w:r>
        <w:t xml:space="preserve"> </w:t>
      </w:r>
      <w:r>
        <w:t xml:space="preserve">with the canonical assignment.</w:t>
      </w:r>
    </w:p>
    <w:p>
      <w:pPr>
        <w:pStyle w:val="FirstParagraph"/>
      </w:pPr>
      <w:r>
        <w:t xml:space="preserve">Swap rates under Hungarian alignment confirm the same picture</w:t>
      </w:r>
      <w:r>
        <w:t xml:space="preserve"> </w:t>
      </w:r>
      <w:r>
        <w:t xml:space="preserve">(KSC swap rates 0.53–0.64; Salinas-A swir swap rate 0.18; full</w:t>
      </w:r>
      <w:r>
        <w:t xml:space="preserve"> </w:t>
      </w:r>
      <w:r>
        <w:t xml:space="preserve">table available in the public artefact set — see</w:t>
      </w:r>
      <w:r>
        <w:t xml:space="preserve"> </w:t>
      </w:r>
      <w:r>
        <w:t xml:space="preserve">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25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ungarian-alignment-example.pdf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Hungarian topic-id alignment for Salinas-A under SWIR-only</w:t>
      </w:r>
      <w:r>
        <w:t xml:space="preserve"> </w:t>
      </w:r>
      <w:r>
        <w:t xml:space="preserve">(paired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). Five of six canonical topics realign to</w:t>
      </w:r>
      <w:r>
        <w:t xml:space="preserve"> </w:t>
      </w:r>
      <w:r>
        <w:t xml:space="preserve">masked topics with confusion-matrix dominance</w:t>
      </w:r>
      <w:r>
        <w:t xml:space="preserve"> </w:t>
      </w:r>
      <m:oMath>
        <m:r>
          <m:rPr>
            <m:sty m:val="p"/>
          </m:rPr>
          <m:t>&gt;</m:t>
        </m:r>
        <m:r>
          <m:t>0.65</m:t>
        </m:r>
      </m:oMath>
      <w:r>
        <w:t xml:space="preserve">; the sixth</w:t>
      </w:r>
      <w:r>
        <w:t xml:space="preserve"> </w:t>
      </w:r>
      <w:r>
        <w:t xml:space="preserve">splits across two masked topics, accounting for most of the residual</w:t>
      </w:r>
      <w:r>
        <w:t xml:space="preserve"> </w:t>
      </w:r>
      <w:r>
        <w:t xml:space="preserve">swap rate.</w:t>
      </w:r>
    </w:p>
    <w:bookmarkEnd w:id="25"/>
    <w:bookmarkStart w:id="26" w:name="hidsag-mineral-subsets"/>
    <w:p>
      <w:pPr>
        <w:pStyle w:val="Heading2"/>
      </w:pPr>
      <w:r>
        <w:t xml:space="preserve">HIDSAG mineral subsets</w:t>
      </w:r>
    </w:p>
    <w:p>
      <w:pPr>
        <w:pStyle w:val="FirstParagraph"/>
      </w:pPr>
      <w:r>
        <w:t xml:space="preserve">On HIDSAG, the four masks produce 20 successful refits across five</w:t>
      </w:r>
      <w:r>
        <w:t xml:space="preserve"> </w:t>
      </w:r>
      <w:r>
        <w:t xml:space="preserve">subsets (no Pavia-style auto-skip occurs because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intentionally spans both ends). The</w:t>
      </w:r>
      <w:r>
        <w:t xml:space="preserve"> </w:t>
      </w:r>
      <w:r>
        <w:t xml:space="preserve">between-covariate-variance variant of the Fisher mask retains 50</w:t>
      </w:r>
      <w:r>
        <w:t xml:space="preserve"> </w:t>
      </w:r>
      <w:r>
        <w:t xml:space="preserve">bands on MINERAL1, GEOCHEM, and PORPHYRY; GEOMET and MINERAL2 have a</w:t>
      </w:r>
      <w:r>
        <w:t xml:space="preserve"> </w:t>
      </w:r>
      <w:r>
        <w:t xml:space="preserve">single dominant covariate value, in which case the variance ranking</w:t>
      </w:r>
      <w:r>
        <w:t xml:space="preserve"> </w:t>
      </w:r>
      <w:r>
        <w:t xml:space="preserve">is degenerate and the mask falls back to keep-all-bands, which we</w:t>
      </w:r>
      <w:r>
        <w:t xml:space="preserve"> </w:t>
      </w:r>
      <w:r>
        <w:t xml:space="preserve">report transparently in the artefact metadata. Paired-ARI comparison</w:t>
      </w:r>
      <w:r>
        <w:t xml:space="preserve"> </w:t>
      </w:r>
      <w:r>
        <w:t xml:space="preserve">against the canonical HIDSAG fit follows the same Hungarian</w:t>
      </w:r>
      <w:r>
        <w:t xml:space="preserve"> </w:t>
      </w:r>
      <w:r>
        <w:t xml:space="preserve">procedure; full results are in the public artefact set.</w:t>
      </w:r>
    </w:p>
    <w:bookmarkEnd w:id="26"/>
    <w:bookmarkEnd w:id="27"/>
    <w:bookmarkStart w:id="28" w:name="sec:discuss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band-mask diagnostic separates scenes on which any</w:t>
      </w:r>
      <w:r>
        <w:t xml:space="preserve"> </w:t>
      </w:r>
      <w:r>
        <w:t xml:space="preserve">“interpretable spectral basis”</w:t>
      </w:r>
      <w:r>
        <w:t xml:space="preserve"> </w:t>
      </w:r>
      <w:r>
        <w:t xml:space="preserve">claim is empirically tractable from</w:t>
      </w:r>
      <w:r>
        <w:t xml:space="preserve"> </w:t>
      </w:r>
      <w:r>
        <w:t xml:space="preserve">scenes on which it is not. On Salinas-A under SWIR-only restriction,</w:t>
      </w:r>
      <w:r>
        <w:t xml:space="preserve"> </w:t>
      </w:r>
      <w:r>
        <w:t xml:space="preserve">the LDA topics persist after one removes the entire VNIR half of</w:t>
      </w:r>
      <w:r>
        <w:t xml:space="preserve"> </w:t>
      </w:r>
      <w:r>
        <w:t xml:space="preserve">the spectrum: the spectral signature carried by the SWIR bands is</w:t>
      </w:r>
      <w:r>
        <w:t xml:space="preserve"> </w:t>
      </w:r>
      <w:r>
        <w:t xml:space="preserve">sufficient to recover the canonical structure. This is consistent</w:t>
      </w:r>
      <w:r>
        <w:t xml:space="preserve"> </w:t>
      </w:r>
      <w:r>
        <w:t xml:space="preserve">with the prior literature on agricultural HSI, where SWIR</w:t>
      </w:r>
      <w:r>
        <w:t xml:space="preserve"> </w:t>
      </w:r>
      <w:r>
        <w:t xml:space="preserve">reflectance dominates cellulose/lignin discrimination.</w:t>
      </w:r>
    </w:p>
    <w:p>
      <w:pPr>
        <w:pStyle w:val="BodyText"/>
      </w:pPr>
      <w:r>
        <w:t xml:space="preserve">On KSC and Botswana the diagnostic returns a partial-negative</w:t>
      </w:r>
      <w:r>
        <w:t xml:space="preserve"> </w:t>
      </w:r>
      <w:r>
        <w:t xml:space="preserve">result. 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means a masked-LDA observer would</w:t>
      </w:r>
      <w:r>
        <w:t xml:space="preserve"> </w:t>
      </w:r>
      <w:r>
        <w:t xml:space="preserve">arrive at fundamentally different topic identities than the</w:t>
      </w:r>
      <w:r>
        <w:t xml:space="preserve"> </w:t>
      </w:r>
      <w:r>
        <w:t xml:space="preserve">canonical-fit observer for the same scene. Two interpretations are</w:t>
      </w:r>
      <w:r>
        <w:t xml:space="preserve"> </w:t>
      </w:r>
      <w:r>
        <w:t xml:space="preserve">consistent with this finding: (i) the canonical fit is exploiting</w:t>
      </w:r>
      <w:r>
        <w:t xml:space="preserve"> </w:t>
      </w:r>
      <w:r>
        <w:t xml:space="preserve">band-level redundancy that does not survive restriction (an</w:t>
      </w:r>
      <w:r>
        <w:t xml:space="preserve"> </w:t>
      </w:r>
      <w:r>
        <w:t xml:space="preserve">ill-identified topic basis), or (ii) the topics are weakly</w:t>
      </w:r>
      <w:r>
        <w:t xml:space="preserve"> </w:t>
      </w:r>
      <w:r>
        <w:t xml:space="preserve">identified to begin with on those scenes (a small-sample-with-many-classes</w:t>
      </w:r>
      <w:r>
        <w:t xml:space="preserve"> </w:t>
      </w:r>
      <w:r>
        <w:t xml:space="preserve">issue: KSC has 13 classes in 5,200 sampled pixels; Botswana has</w:t>
      </w:r>
      <w:r>
        <w:t xml:space="preserve"> </w:t>
      </w:r>
      <w:r>
        <w:t xml:space="preserve">14 classes in 3,248 sampled pixels). The diagnostic does not</w:t>
      </w:r>
      <w:r>
        <w:t xml:space="preserve"> </w:t>
      </w:r>
      <w:r>
        <w:t xml:space="preserve">discriminate between these two causes; it does, however, flag the</w:t>
      </w:r>
      <w:r>
        <w:t xml:space="preserve"> </w:t>
      </w:r>
      <w:r>
        <w:t xml:space="preserve">scenes on which any interpretability claim leaning on the canonical</w:t>
      </w:r>
      <w:r>
        <w:t xml:space="preserve"> </w:t>
      </w:r>
      <w:r>
        <w:t xml:space="preserve">topic basis should be tempered.</w:t>
      </w:r>
    </w:p>
    <w:p>
      <w:pPr>
        <w:pStyle w:val="BodyText"/>
      </w:pPr>
      <w:r>
        <w:t xml:space="preserve">A practical consequence: when reporting per-scene supervised</w:t>
      </w:r>
      <w:r>
        <w:t xml:space="preserve"> </w:t>
      </w:r>
      <w:r>
        <w:t xml:space="preserve">metrics (linear-probe accuracy on</w:t>
      </w:r>
      <w:r>
        <w:t xml:space="preserve"> </w:t>
      </w:r>
      <m:oMath>
        <m:r>
          <m:t>θ</m:t>
        </m:r>
      </m:oMath>
      <w:r>
        <w:t xml:space="preserve">, topic-routed soft</w:t>
      </w:r>
      <w:r>
        <w:t xml:space="preserve"> </w:t>
      </w:r>
      <w:r>
        <w:t xml:space="preserve">classifier macro-F1) in a paper that interprets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spectral mixture, the band-mask robustness should be reported</w:t>
      </w:r>
      <w:r>
        <w:t xml:space="preserve"> </w:t>
      </w:r>
      <w:r>
        <w:t xml:space="preserve">alongside the seed stability. A high-accuracy classifier built on</w:t>
      </w:r>
      <w:r>
        <w:t xml:space="preserve"> </w:t>
      </w:r>
      <w:r>
        <w:t xml:space="preserve">top of a band-fragile basis is a different scientific object than</w:t>
      </w:r>
      <w:r>
        <w:t xml:space="preserve"> </w:t>
      </w:r>
      <w:r>
        <w:t xml:space="preserve">the same classifier built on a band-robust basis.</w:t>
      </w:r>
    </w:p>
    <w:bookmarkEnd w:id="28"/>
    <w:bookmarkStart w:id="3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sweep ships as 24 (labelled scene, mask) tuples plus 20</w:t>
      </w:r>
      <w:r>
        <w:t xml:space="preserve"> </w:t>
      </w:r>
      <w:r>
        <w:t xml:space="preserve">(HIDSAG subset, mask) tuples = 44 LDA refits with the per-tuple</w:t>
      </w:r>
      <w:r>
        <w:t xml:space="preserve"> </w:t>
      </w:r>
      <w:r>
        <w:t xml:space="preserve">JSON summary (top words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cosine</w:t>
      </w:r>
      <w:r>
        <w:t xml:space="preserve"> </w:t>
      </w:r>
      <w:r>
        <w:t xml:space="preserve">distance matrix,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perplexity, ARI vs label, full</w:t>
      </w:r>
      <w:r>
        <w:t xml:space="preserve"> </w:t>
      </w:r>
      <w:r>
        <w:t xml:space="preserve">Hungarian alignment), the per-pixel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 </w:t>
      </w:r>
      <w:r>
        <w:t xml:space="preserve">(uint8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 </w:t>
      </w:r>
      <w:r>
        <w:t xml:space="preserve">with sentinel 255 for unlabelled), and the</w:t>
      </w:r>
      <w:r>
        <w:t xml:space="preserve"> </w:t>
      </w:r>
      <w:r>
        <w:t xml:space="preserve">per-pixel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with sentinel all-zero) on the labelled-scene side. Total derived</w:t>
      </w:r>
      <w:r>
        <w:t xml:space="preserve"> </w:t>
      </w:r>
      <w:r>
        <w:t xml:space="preserve">footprint: 1726 deterministic artefacts, 421 MB.</w:t>
      </w:r>
    </w:p>
    <w:p>
      <w:pPr>
        <w:pStyle w:val="BodyText"/>
      </w:pPr>
      <w:r>
        <w:t xml:space="preserve">A FastAPI backend serves the artefacts at three endpoints:</w:t>
      </w:r>
      <w:r>
        <w:t xml:space="preserve"> </w:t>
      </w:r>
      <w:r>
        <w:rPr>
          <w:rStyle w:val="VerbatimChar"/>
        </w:rPr>
        <w:t xml:space="preserve">/api/band-masks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/api/band-masks/{scene}/{mask}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/api/band-masks/canonical-comparison</w:t>
      </w:r>
      <w:r>
        <w:t xml:space="preserve">, plus the HIDSAG</w:t>
      </w:r>
      <w:r>
        <w:t xml:space="preserve"> </w:t>
      </w:r>
      <w:r>
        <w:t xml:space="preserve">companions. A 109-endpoint smoke harness verifies endpoint health</w:t>
      </w:r>
      <w:r>
        <w:t xml:space="preserve"> </w:t>
      </w:r>
      <w:r>
        <w:t xml:space="preserve">and SPA-shell content on every deploy.</w:t>
      </w:r>
    </w:p>
    <w:p>
      <w:pPr>
        <w:pStyle w:val="BodyText"/>
      </w:pPr>
      <w:r>
        <w:t xml:space="preserve">The full source — builders, FastAPI app, React frontend, and the</w:t>
      </w:r>
      <w:r>
        <w:t xml:space="preserve"> </w:t>
      </w:r>
      <w:r>
        <w:t xml:space="preserve">companion technical documentation wiki —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https://github.com/fsantibanezleal/CAOS_LDA_HSI</w:t>
        </w:r>
      </w:hyperlink>
      <w:r>
        <w:t xml:space="preserve">. The live</w:t>
      </w:r>
      <w:r>
        <w:t xml:space="preserve"> </w:t>
      </w:r>
      <w:r>
        <w:t xml:space="preserve">interactive deployment is at</w:t>
      </w:r>
      <w:r>
        <w:t xml:space="preserve"> </w:t>
      </w:r>
      <w:hyperlink r:id="rId30">
        <w:r>
          <w:rPr>
            <w:rStyle w:val="Hyperlink"/>
          </w:rPr>
          <w:t xml:space="preserve">https://lda-hsi.fasl-work.com</w:t>
        </w:r>
      </w:hyperlink>
      <w:r>
        <w:t xml:space="preserve">.</w:t>
      </w:r>
    </w:p>
    <w:bookmarkEnd w:id="31"/>
    <w:bookmarkStart w:id="3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introduce a band-mask robustness diagnostic that complements the</w:t>
      </w:r>
      <w:r>
        <w:t xml:space="preserve"> </w:t>
      </w:r>
      <w:r>
        <w:t xml:space="preserve">established seed and capacity stability axes for LDA-based topic</w:t>
      </w:r>
      <w:r>
        <w:t xml:space="preserve"> </w:t>
      </w:r>
      <w:r>
        <w:t xml:space="preserve">models on hyperspectral imagery. The diagnostic refits canonical-</w:t>
      </w:r>
      <m:oMath>
        <m:r>
          <m:t>K</m:t>
        </m:r>
      </m:oMath>
      <w:r>
        <w:t xml:space="preserve"> </w:t>
      </w:r>
      <w:r>
        <w:t xml:space="preserve">LDA under four spectral-band restriction policies and compares the</w:t>
      </w:r>
      <w:r>
        <w:t xml:space="preserve"> </w:t>
      </w:r>
      <w:r>
        <w:t xml:space="preserve">masked dominant-topic maps against the canonical fit via paired ARI</w:t>
      </w:r>
      <w:r>
        <w:t xml:space="preserve"> </w:t>
      </w:r>
      <w:r>
        <w:t xml:space="preserve">plus a Hungarian topic-id alignment. Across six labelled benchmarks</w:t>
      </w:r>
      <w:r>
        <w:t xml:space="preserve"> </w:t>
      </w:r>
      <w:r>
        <w:t xml:space="preserve">and five HIDSAG mineral subsets, the diagnostic separates scenes</w:t>
      </w:r>
      <w:r>
        <w:t xml:space="preserve"> </w:t>
      </w:r>
      <w:r>
        <w:t xml:space="preserve">whose canonical topics are band-robust (Salinas-A under SWIR-only,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 from scenes whose canonical topics are</w:t>
      </w:r>
      <w:r>
        <w:t xml:space="preserve"> </w:t>
      </w:r>
      <w:r>
        <w:t xml:space="preserve">band-fragile (KSC and Botswana,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). The</w:t>
      </w:r>
      <w:r>
        <w:t xml:space="preserve"> </w:t>
      </w:r>
      <w:r>
        <w:t xml:space="preserve">full sweep, including 1726 deterministic JSON and binary artefacts,</w:t>
      </w:r>
      <w:r>
        <w:t xml:space="preserve"> </w:t>
      </w:r>
      <w:r>
        <w:t xml:space="preserve">is publicly released to support follow-on work.</w:t>
      </w:r>
    </w:p>
    <w:p>
      <w:pPr>
        <w:pStyle w:val="BodyText"/>
      </w:pPr>
      <w:r>
        <w:t xml:space="preserve">Future directions include extending the diagnostic to non-canonical</w:t>
      </w:r>
      <w:r>
        <w:t xml:space="preserve"> </w:t>
      </w:r>
      <w:r>
        <w:t xml:space="preserve">recipes (V2–V12 wordifications), evaluating its behaviour under</w:t>
      </w:r>
      <w:r>
        <w:t xml:space="preserve"> </w:t>
      </w:r>
      <w:r>
        <w:t xml:space="preserve">neural topic models (ProdLDA, ETM) which may handle band-restriction</w:t>
      </w:r>
      <w:r>
        <w:t xml:space="preserve"> </w:t>
      </w:r>
      <w:r>
        <w:t xml:space="preserve">differently due to their learned word embeddings, and developing a</w:t>
      </w:r>
      <w:r>
        <w:t xml:space="preserve"> </w:t>
      </w:r>
      <w:r>
        <w:t xml:space="preserve">calibrated information-theoretic complement (computing</w:t>
      </w:r>
      <w:r>
        <w:t xml:space="preserve"> </w:t>
      </w:r>
      <w:r>
        <w:t xml:space="preserve">between-covariate variance Fisher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masked</w:t>
      </w:r>
      <w:r>
        <w:t xml:space="preserve"> </w:t>
      </w:r>
      <w:r>
        <w:t xml:space="preserve">space rather than on the unmasked spectrum).</w:t>
      </w:r>
    </w:p>
    <w:bookmarkEnd w:id="32"/>
    <w:bookmarkStart w:id="3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database is the result of a collaboration on hyperspectral</w:t>
      </w:r>
      <w:r>
        <w:t xml:space="preserve"> </w:t>
      </w:r>
      <w:r>
        <w:t xml:space="preserve">mineralogy with industrial partners in Chilean mining geosciences.</w:t>
      </w:r>
    </w:p>
    <w:bookmarkEnd w:id="33"/>
    <w:bookmarkStart w:id="7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 co-author of the HIDSAG dataset descriptor</w:t>
      </w:r>
      <w:r>
        <w:t xml:space="preserve"> </w:t>
      </w:r>
      <w:r>
        <w:t xml:space="preserve">publication </w:t>
      </w:r>
      <w:r>
        <w:t xml:space="preserve">(Ehrenfeld et al. 2023)</w:t>
      </w:r>
      <w:r>
        <w:t xml:space="preserve"> </w:t>
      </w:r>
      <w:r>
        <w:t xml:space="preserve">and the accompanying data</w:t>
      </w:r>
      <w:r>
        <w:t xml:space="preserve"> </w:t>
      </w:r>
      <w:r>
        <w:t xml:space="preserve">release </w:t>
      </w:r>
      <w:r>
        <w:t xml:space="preserve">(Ehrenfeld 2023)</w:t>
      </w:r>
      <w:r>
        <w:t xml:space="preserve">. The present manuscript is</w:t>
      </w:r>
      <w:r>
        <w:t xml:space="preserve"> </w:t>
      </w:r>
      <w:r>
        <w:t xml:space="preserve">methodologically distinct: it proposes a band-mask robustness</w:t>
      </w:r>
      <w:r>
        <w:t xml:space="preserve"> </w:t>
      </w:r>
      <w:r>
        <w:t xml:space="preserve">diagnostic for LDA on HSI and applies it, among other benchmarks,</w:t>
      </w:r>
      <w:r>
        <w:t xml:space="preserve"> </w:t>
      </w:r>
      <w:r>
        <w:t xml:space="preserve">to the HIDSAG mineralogical subsets. HIDSAG is cited as a data</w:t>
      </w:r>
      <w:r>
        <w:t xml:space="preserve"> </w:t>
      </w:r>
      <w:r>
        <w:t xml:space="preserve">source, not as a methodological contribution of this work. The</w:t>
      </w:r>
      <w:r>
        <w:t xml:space="preserve"> </w:t>
      </w:r>
      <w:r>
        <w:t xml:space="preserve">author declares no other conflict of interest.</w:t>
      </w:r>
    </w:p>
    <w:bookmarkStart w:id="73" w:name="refs"/>
    <w:bookmarkStart w:id="35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4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35"/>
    <w:bookmarkStart w:id="37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6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7"/>
    <w:bookmarkStart w:id="39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8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9"/>
    <w:bookmarkStart w:id="41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40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40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41"/>
    <w:bookmarkStart w:id="43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42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43"/>
    <w:bookmarkStart w:id="46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46"/>
    <w:bookmarkStart w:id="48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7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8"/>
    <w:bookmarkStart w:id="50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9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50"/>
    <w:bookmarkStart w:id="52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51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52"/>
    <w:bookmarkStart w:id="54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53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54"/>
    <w:bookmarkStart w:id="56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5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6"/>
    <w:bookmarkStart w:id="58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8"/>
    <w:bookmarkStart w:id="60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60"/>
    <w:bookmarkStart w:id="62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62"/>
    <w:bookmarkStart w:id="64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3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4"/>
    <w:bookmarkStart w:id="66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65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66"/>
    <w:bookmarkStart w:id="68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67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68"/>
    <w:bookmarkStart w:id="70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69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70"/>
    <w:bookmarkStart w:id="72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71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df" /><Relationship Type="http://schemas.openxmlformats.org/officeDocument/2006/relationships/image" Id="rId17" Target="media/rId17.pdf" /><Relationship Type="http://schemas.openxmlformats.org/officeDocument/2006/relationships/hyperlink" Id="rId67" Target="https://docs.scipy.org/doc/scipy/reference/generated/scipy.optimize.linear_sum_assignment.html" TargetMode="External" /><Relationship Type="http://schemas.openxmlformats.org/officeDocument/2006/relationships/hyperlink" Id="rId53" Target="https://doi.org/10.1002/nav.3800020109" TargetMode="External" /><Relationship Type="http://schemas.openxmlformats.org/officeDocument/2006/relationships/hyperlink" Id="rId51" Target="https://doi.org/10.1007/BF01908075" TargetMode="External" /><Relationship Type="http://schemas.openxmlformats.org/officeDocument/2006/relationships/hyperlink" Id="rId65" Target="https://doi.org/10.1016/j.rse.2007.07.028" TargetMode="External" /><Relationship Type="http://schemas.openxmlformats.org/officeDocument/2006/relationships/hyperlink" Id="rId42" Target="https://doi.org/10.1038/s41597-023-02061-x" TargetMode="External" /><Relationship Type="http://schemas.openxmlformats.org/officeDocument/2006/relationships/hyperlink" Id="rId47" Target="https://doi.org/10.1073/pnas.0307752101" TargetMode="External" /><Relationship Type="http://schemas.openxmlformats.org/officeDocument/2006/relationships/hyperlink" Id="rId36" Target="https://doi.org/10.1109/JSTARS.2012.2194696" TargetMode="External" /><Relationship Type="http://schemas.openxmlformats.org/officeDocument/2006/relationships/hyperlink" Id="rId55" Target="https://doi.org/10.1109/LGRS.2018.2887112" TargetMode="External" /><Relationship Type="http://schemas.openxmlformats.org/officeDocument/2006/relationships/hyperlink" Id="rId71" Target="https://doi.org/10.1109/TGRS.2017.2715350" TargetMode="External" /><Relationship Type="http://schemas.openxmlformats.org/officeDocument/2006/relationships/hyperlink" Id="rId34" Target="https://doi.org/10.4231/R7RX991C" TargetMode="External" /><Relationship Type="http://schemas.openxmlformats.org/officeDocument/2006/relationships/hyperlink" Id="rId40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9" Target="https://jmlr.org/papers/v11/vinh10a.html" TargetMode="External" /><Relationship Type="http://schemas.openxmlformats.org/officeDocument/2006/relationships/hyperlink" Id="rId63" Target="https://jmlr.org/papers/v12/pedregosa11a.html" TargetMode="External" /><Relationship Type="http://schemas.openxmlformats.org/officeDocument/2006/relationships/hyperlink" Id="rId38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9" Target="https://papers.nips.cc/paper/3902-online-learning-for-latent-dirichlet-allocation" TargetMode="External" /><Relationship Type="http://schemas.openxmlformats.org/officeDocument/2006/relationships/hyperlink" Id="rId57" Target="https://www.ehu.eus/ccwintco/index.php/Hyperspectral_Remote_Sensing_Scenes#Botswana" TargetMode="External" /><Relationship Type="http://schemas.openxmlformats.org/officeDocument/2006/relationships/hyperlink" Id="rId59" Target="https://www.ehu.eus/ccwintco/index.php/Hyperspectral_Remote_Sensing_Scenes#Kennedy_Space_Center_.28KSC.29" TargetMode="External" /><Relationship Type="http://schemas.openxmlformats.org/officeDocument/2006/relationships/hyperlink" Id="rId44" Target="https://www.ehu.eus/ccwintco/index.php/Hyperspectral_Remote_Sensing_Scenes#Pavia_Centre_and_University" TargetMode="External" /><Relationship Type="http://schemas.openxmlformats.org/officeDocument/2006/relationships/hyperlink" Id="rId45" Target="https://www.ehu.eus/ccwintco/index.php/Hyperspectral_Remote_Sensing_Scenes#Pavia_University_scene" TargetMode="External" /><Relationship Type="http://schemas.openxmlformats.org/officeDocument/2006/relationships/hyperlink" Id="rId61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cs.scipy.org/doc/scipy/reference/generated/scipy.optimize.linear_sum_assignment.html" TargetMode="External" /><Relationship Type="http://schemas.openxmlformats.org/officeDocument/2006/relationships/hyperlink" Id="rId53" Target="https://doi.org/10.1002/nav.3800020109" TargetMode="External" /><Relationship Type="http://schemas.openxmlformats.org/officeDocument/2006/relationships/hyperlink" Id="rId51" Target="https://doi.org/10.1007/BF01908075" TargetMode="External" /><Relationship Type="http://schemas.openxmlformats.org/officeDocument/2006/relationships/hyperlink" Id="rId65" Target="https://doi.org/10.1016/j.rse.2007.07.028" TargetMode="External" /><Relationship Type="http://schemas.openxmlformats.org/officeDocument/2006/relationships/hyperlink" Id="rId42" Target="https://doi.org/10.1038/s41597-023-02061-x" TargetMode="External" /><Relationship Type="http://schemas.openxmlformats.org/officeDocument/2006/relationships/hyperlink" Id="rId47" Target="https://doi.org/10.1073/pnas.0307752101" TargetMode="External" /><Relationship Type="http://schemas.openxmlformats.org/officeDocument/2006/relationships/hyperlink" Id="rId36" Target="https://doi.org/10.1109/JSTARS.2012.2194696" TargetMode="External" /><Relationship Type="http://schemas.openxmlformats.org/officeDocument/2006/relationships/hyperlink" Id="rId55" Target="https://doi.org/10.1109/LGRS.2018.2887112" TargetMode="External" /><Relationship Type="http://schemas.openxmlformats.org/officeDocument/2006/relationships/hyperlink" Id="rId71" Target="https://doi.org/10.1109/TGRS.2017.2715350" TargetMode="External" /><Relationship Type="http://schemas.openxmlformats.org/officeDocument/2006/relationships/hyperlink" Id="rId34" Target="https://doi.org/10.4231/R7RX991C" TargetMode="External" /><Relationship Type="http://schemas.openxmlformats.org/officeDocument/2006/relationships/hyperlink" Id="rId40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9" Target="https://jmlr.org/papers/v11/vinh10a.html" TargetMode="External" /><Relationship Type="http://schemas.openxmlformats.org/officeDocument/2006/relationships/hyperlink" Id="rId63" Target="https://jmlr.org/papers/v12/pedregosa11a.html" TargetMode="External" /><Relationship Type="http://schemas.openxmlformats.org/officeDocument/2006/relationships/hyperlink" Id="rId38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9" Target="https://papers.nips.cc/paper/3902-online-learning-for-latent-dirichlet-allocation" TargetMode="External" /><Relationship Type="http://schemas.openxmlformats.org/officeDocument/2006/relationships/hyperlink" Id="rId57" Target="https://www.ehu.eus/ccwintco/index.php/Hyperspectral_Remote_Sensing_Scenes#Botswana" TargetMode="External" /><Relationship Type="http://schemas.openxmlformats.org/officeDocument/2006/relationships/hyperlink" Id="rId59" Target="https://www.ehu.eus/ccwintco/index.php/Hyperspectral_Remote_Sensing_Scenes#Kennedy_Space_Center_.28KSC.29" TargetMode="External" /><Relationship Type="http://schemas.openxmlformats.org/officeDocument/2006/relationships/hyperlink" Id="rId44" Target="https://www.ehu.eus/ccwintco/index.php/Hyperspectral_Remote_Sensing_Scenes#Pavia_Centre_and_University" TargetMode="External" /><Relationship Type="http://schemas.openxmlformats.org/officeDocument/2006/relationships/hyperlink" Id="rId45" Target="https://www.ehu.eus/ccwintco/index.php/Hyperspectral_Remote_Sensing_Scenes#Pavia_University_scene" TargetMode="External" /><Relationship Type="http://schemas.openxmlformats.org/officeDocument/2006/relationships/hyperlink" Id="rId61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Band-Mask Robustness Diagnostic for Latent Dirichlet Allocation on Hyperspectral Imagery</dc:title>
  <dc:creator/>
  <cp:keywords/>
  <dcterms:created xsi:type="dcterms:W3CDTF">2026-05-18T18:31:24Z</dcterms:created>
  <dcterms:modified xsi:type="dcterms:W3CDTF">2026-05-18T18:31:24Z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Latent Dirichlet Allocation (LDA) and its neural variants are increasingly used as interpretable spectral mixture models on hyperspectral imagery. Their seed and capacity stability has been studied at length; their robustness to the choice of spectral window has not. We introduce a band-mask robustness diagnostic that refits a canonical LDA model under four band-restriction policies (VNIR-only, SWIR-only, atmospheric-water-band removal, top-50 Fisher discriminant) and compares the masked dominant-topic maps against the canonical fit via the adjusted Rand index after a Hungarian topic-id alignment. Applied to six standard hyperspectral scenes (Indian Pines, Salinas, Salinas-A, Pavia U, Kennedy Space Center, Botswana) and five HIDSAG mineral subsets, the diagnostic yields a striking result: topic identities on Salinas-A under SWIR-only restriction recover the canonical assignment with paired ARI =0.77, while KSC and Botswana paired ARI is \approx 0.01 under every mask. The diagnostic therefore separates scenes on which any “interpretable spectral mixture” claim is band-robust from scenes on which it is not. We release the full sweep (20+24 LDA refits) as a public, deterministic artefact set under a permissive licence to support follow-on work.</vt:lpwstr>
  </property>
  <property fmtid="{D5CDD505-2E9C-101B-9397-08002B2CF9AE}" pid="3" name="bibliography">
    <vt:lpwstr>../../bibliography/refs.bib</vt:lpwstr>
  </property>
</Properties>
</file>