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E — Extended discussion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A Band-Mask Robustness Diagnostic for LDA on HSI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supplement expands Section V of the conference paper.</w:t>
      </w:r>
    </w:p>
    <w:bookmarkEnd w:id="9"/>
    <w:bookmarkStart w:id="12" w:name="Xa3d6cdb7f8d870318d720abdc8ba0f9a8d93f41"/>
    <w:p>
      <w:pPr>
        <w:pStyle w:val="Heading1"/>
      </w:pPr>
      <w:r>
        <w:t xml:space="preserve">Why Salinas-A under SWIR-only reaches paired ARI 0.766</w:t>
      </w:r>
    </w:p>
    <w:p>
      <w:pPr>
        <w:pStyle w:val="FirstParagraph"/>
      </w:pPr>
      <w:r>
        <w:t xml:space="preserve">Salinas-A is a 6-class subset of Salinas covering five lettuce</w:t>
      </w:r>
      <w:r>
        <w:t xml:space="preserve"> </w:t>
      </w:r>
      <w:r>
        <w:t xml:space="preserve">varieties (4-, 5-, 6-, 7-week) plus a single soil class on an</w:t>
      </w:r>
      <w:r>
        <w:t xml:space="preserve"> </w:t>
      </w:r>
      <m:oMath>
        <m:r>
          <m:t>83</m:t>
        </m:r>
        <m:r>
          <m:rPr>
            <m:sty m:val="p"/>
          </m:rPr>
          <m:t>×</m:t>
        </m:r>
        <m:r>
          <m:t>86</m:t>
        </m:r>
      </m:oMath>
      <w:r>
        <w:t xml:space="preserve"> </w:t>
      </w:r>
      <w:r>
        <w:t xml:space="preserve">window. The SWIR window (1100–2500 nm) carries the</w:t>
      </w:r>
      <w:r>
        <w:t xml:space="preserve"> </w:t>
      </w:r>
      <w:r>
        <w:t xml:space="preserve">cellulose, lignin, and water-absorption features that historically</w:t>
      </w:r>
      <w:r>
        <w:t xml:space="preserve"> </w:t>
      </w:r>
      <w:r>
        <w:t xml:space="preserve">dominate vegetation–soil discrimination on AVIRIS. Two specific</w:t>
      </w:r>
      <w:r>
        <w:t xml:space="preserve"> </w:t>
      </w:r>
      <w:r>
        <w:t xml:space="preserve">observations support the high paired ARI on this tuple:</w:t>
      </w:r>
    </w:p>
    <w:bookmarkStart w:id="10" w:name="i-cellulose-feature-density."/>
    <w:p>
      <w:pPr>
        <w:pStyle w:val="Heading4"/>
      </w:pPr>
      <w:r>
        <w:t xml:space="preserve">(i) Cellulose feature density.</w:t>
      </w:r>
    </w:p>
    <w:p>
      <w:pPr>
        <w:pStyle w:val="FirstParagraph"/>
      </w:pPr>
      <w:r>
        <w:t xml:space="preserve">The SWIR window contains</w:t>
      </w:r>
      <w:r>
        <w:t xml:space="preserve"> </w:t>
      </w:r>
      <w:r>
        <w:t xml:space="preserve">the canonical cellulose absorption near 2100 nm and the</w:t>
      </w:r>
      <w:r>
        <w:t xml:space="preserve"> </w:t>
      </w:r>
      <w:r>
        <w:t xml:space="preserve">lignin/glucose absorption near 2300 nm; together these are</w:t>
      </w:r>
      <w:r>
        <w:t xml:space="preserve"> </w:t>
      </w:r>
      <w:r>
        <w:t xml:space="preserve">sufficient to discriminate vegetation life stage on the</w:t>
      </w:r>
      <w:r>
        <w:t xml:space="preserve"> </w:t>
      </w:r>
      <w:r>
        <w:t xml:space="preserve">lettuce-romaine sequence at the centre of Salinas-A. The unmasked</w:t>
      </w:r>
      <w:r>
        <w:t xml:space="preserve"> </w:t>
      </w:r>
      <w:r>
        <w:t xml:space="preserve">canonical fit picks up the same features (it has access to them) and</w:t>
      </w:r>
      <w:r>
        <w:t xml:space="preserve"> </w:t>
      </w:r>
      <w:r>
        <w:t xml:space="preserve">the SWIR-only fit picks up exactly those features again — the</w:t>
      </w:r>
      <w:r>
        <w:t xml:space="preserve"> </w:t>
      </w:r>
      <w:r>
        <w:t xml:space="preserve">topic identities are conserved because the discriminative signal</w:t>
      </w:r>
      <w:r>
        <w:t xml:space="preserve"> </w:t>
      </w:r>
      <w:r>
        <w:t xml:space="preserve">literally lives in the retained spectral range.</w:t>
      </w:r>
    </w:p>
    <w:bookmarkEnd w:id="10"/>
    <w:bookmarkStart w:id="11" w:name="ii-spatial-class-smoothness."/>
    <w:p>
      <w:pPr>
        <w:pStyle w:val="Heading4"/>
      </w:pPr>
      <w:r>
        <w:t xml:space="preserve">(ii) Spatial-class smoothness.</w:t>
      </w:r>
    </w:p>
    <w:p>
      <w:pPr>
        <w:pStyle w:val="FirstParagraph"/>
      </w:pPr>
      <w:r>
        <w:t xml:space="preserve">Salinas-A is, by design,</w:t>
      </w:r>
      <w:r>
        <w:t xml:space="preserve"> </w:t>
      </w:r>
      <w:r>
        <w:t xml:space="preserve">the spatially smoothest of the six labelled scenes. Each class</w:t>
      </w:r>
      <w:r>
        <w:t xml:space="preserve"> </w:t>
      </w:r>
      <w:r>
        <w:t xml:space="preserve">occupies a contiguous rectangular field with sharp boundaries; the</w:t>
      </w:r>
      <w:r>
        <w:t xml:space="preserve"> </w:t>
      </w:r>
      <w:r>
        <w:t xml:space="preserve">canonical and masked dominant-topic maps agree on the field</w:t>
      </w:r>
      <w:r>
        <w:t xml:space="preserve"> </w:t>
      </w:r>
      <w:r>
        <w:t xml:space="preserve">interiors and disagree mostly at the field boundaries, which</w:t>
      </w:r>
      <w:r>
        <w:t xml:space="preserve"> </w:t>
      </w:r>
      <w:r>
        <w:t xml:space="preserve">contribute a bounded swap-rate floor independent of band restriction.</w:t>
      </w:r>
    </w:p>
    <w:p>
      <w:pPr>
        <w:pStyle w:val="BodyText"/>
      </w:pPr>
      <w:r>
        <w:t xml:space="preserve">The SWIR-only paired ARI on Salinas (the parent scene)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reach 0.766 — it is</w:t>
      </w:r>
      <w:r>
        <w:t xml:space="preserve"> </w:t>
      </w:r>
      <m:oMath>
        <m:r>
          <m:t>0.435</m:t>
        </m:r>
      </m:oMath>
      <w:r>
        <w:t xml:space="preserve">, lower than the VNIR and</w:t>
      </w:r>
      <w:r>
        <w:t xml:space="preserve"> </w:t>
      </w:r>
      <w:r>
        <w:t xml:space="preserve">no-water masks. This is consistent with mechanism (i) operating on</w:t>
      </w:r>
      <w:r>
        <w:t xml:space="preserve"> </w:t>
      </w:r>
      <w:r>
        <w:t xml:space="preserve">Salinas-A’s narrower class set but failing on the parent’s broader</w:t>
      </w:r>
      <w:r>
        <w:t xml:space="preserve"> </w:t>
      </w:r>
      <w:r>
        <w:t xml:space="preserve">vinyard and brocoli classes whose discriminative signal lives</w:t>
      </w:r>
      <w:r>
        <w:t xml:space="preserve"> </w:t>
      </w:r>
      <w:r>
        <w:t xml:space="preserve">partly in VNIR.</w:t>
      </w:r>
    </w:p>
    <w:bookmarkEnd w:id="11"/>
    <w:bookmarkEnd w:id="12"/>
    <w:bookmarkStart w:id="15" w:name="X36b9dd79185f645c7840a5b5b5669389a786b8c"/>
    <w:p>
      <w:pPr>
        <w:pStyle w:val="Heading1"/>
      </w:pPr>
      <w:r>
        <w:t xml:space="preserve">Why KSC and Botswana reach paired ARI</w:t>
      </w:r>
      <w:r>
        <w:t xml:space="preserve"> </w:t>
      </w:r>
      <m:oMath>
        <m:r>
          <m:rPr>
            <m:sty m:val="p"/>
          </m:rPr>
          <m:t>≈</m:t>
        </m:r>
        <m:r>
          <m:t>0.01</m:t>
        </m:r>
      </m:oMath>
    </w:p>
    <w:p>
      <w:pPr>
        <w:pStyle w:val="FirstParagraph"/>
      </w:pPr>
      <w:r>
        <w:t xml:space="preserve">KSC paired ARI</w:t>
      </w:r>
      <w:r>
        <w:t xml:space="preserve"> </w:t>
      </w:r>
      <m:oMath>
        <m:r>
          <m:rPr>
            <m:sty m:val="p"/>
          </m:rPr>
          <m:t>≈</m:t>
        </m:r>
        <m:r>
          <m:t>0.01</m:t>
        </m:r>
      </m:oMath>
      <w:r>
        <w:t xml:space="preserve"> </w:t>
      </w:r>
      <w:r>
        <w:t xml:space="preserve">across all four masks; Botswana</w:t>
      </w:r>
      <w:r>
        <w:t xml:space="preserve"> </w:t>
      </w:r>
      <m:oMath>
        <m:r>
          <m:rPr>
            <m:sty m:val="p"/>
          </m:rPr>
          <m:t>≈</m:t>
        </m:r>
        <m:r>
          <m:t>0.01</m:t>
        </m:r>
      </m:oMath>
      <w:r>
        <w:t xml:space="preserve">–</w:t>
      </w:r>
      <m:oMath>
        <m:r>
          <m:t>0.13</m:t>
        </m:r>
      </m:oMath>
      <w:r>
        <w:t xml:space="preserve">. Two non-exclusive mechanisms are consistent</w:t>
      </w:r>
      <w:r>
        <w:t xml:space="preserve"> </w:t>
      </w:r>
      <w:r>
        <w:t xml:space="preserve">with this finding:</w:t>
      </w:r>
    </w:p>
    <w:bookmarkStart w:id="13" w:name="Xb6db73868b438e304ab8a4607774ab2f1a5b4e6"/>
    <w:p>
      <w:pPr>
        <w:pStyle w:val="Heading4"/>
      </w:pPr>
      <w:r>
        <w:t xml:space="preserve">Mechanism (i): canonical fit exploits band-level</w:t>
      </w:r>
      <w:r>
        <w:t xml:space="preserve"> </w:t>
      </w:r>
      <w:r>
        <w:t xml:space="preserve">redundancy.</w:t>
      </w:r>
    </w:p>
    <w:p>
      <w:pPr>
        <w:pStyle w:val="FirstParagraph"/>
      </w:pPr>
      <w:r>
        <w:t xml:space="preserve">The unmasked LDA fit on KSC may be using fine-grained</w:t>
      </w:r>
      <w:r>
        <w:t xml:space="preserve"> </w:t>
      </w:r>
      <w:r>
        <w:t xml:space="preserve">spectral co-variation that is present in the full</w:t>
      </w:r>
      <w:r>
        <w:t xml:space="preserve"> </w:t>
      </w:r>
      <m:oMath>
        <m:r>
          <m:t>176</m:t>
        </m:r>
      </m:oMath>
      <w:r>
        <w:t xml:space="preserve">-band</w:t>
      </w:r>
      <w:r>
        <w:t xml:space="preserve"> </w:t>
      </w:r>
      <w:r>
        <w:t xml:space="preserve">representation and disappears under restriction. Under this</w:t>
      </w:r>
      <w:r>
        <w:t xml:space="preserve"> </w:t>
      </w:r>
      <w:r>
        <w:t xml:space="preserve">mechanism the canonical basis is correct in the unmasked reference</w:t>
      </w:r>
      <w:r>
        <w:t xml:space="preserve"> </w:t>
      </w:r>
      <w:r>
        <w:t xml:space="preserve">frame but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transportable across spectral windows. Any</w:t>
      </w:r>
      <w:r>
        <w:t xml:space="preserve"> </w:t>
      </w:r>
      <w:r>
        <w:t xml:space="preserve">claim of the form</w:t>
      </w:r>
      <w:r>
        <w:t xml:space="preserve"> </w:t>
      </w:r>
      <w:r>
        <w:t xml:space="preserve">“topic </w:t>
      </w:r>
      <m:oMath>
        <m:r>
          <m:t>k</m:t>
        </m:r>
      </m:oMath>
      <w:r>
        <w:t xml:space="preserve"> </w:t>
      </w:r>
      <w:r>
        <w:t xml:space="preserve">corresponds to a wetland-vegetation</w:t>
      </w:r>
      <w:r>
        <w:t xml:space="preserve"> </w:t>
      </w:r>
      <w:r>
        <w:t xml:space="preserve">type”</w:t>
      </w:r>
      <w:r>
        <w:t xml:space="preserve"> </w:t>
      </w:r>
      <w:r>
        <w:t xml:space="preserve">must be qualified: it presupposes the unmasked spectrum.</w:t>
      </w:r>
    </w:p>
    <w:bookmarkEnd w:id="13"/>
    <w:bookmarkStart w:id="14" w:name="mechanism-ii-weak-identification."/>
    <w:p>
      <w:pPr>
        <w:pStyle w:val="Heading4"/>
      </w:pPr>
      <w:r>
        <w:t xml:space="preserve">Mechanism (ii): weak identification.</w:t>
      </w:r>
    </w:p>
    <w:p>
      <w:pPr>
        <w:pStyle w:val="FirstParagraph"/>
      </w:pPr>
      <w:r>
        <w:t xml:space="preserve">KSC has 13 classes,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2686</m:t>
        </m:r>
      </m:oMath>
      <w:r>
        <w:t xml:space="preserve"> </w:t>
      </w:r>
      <w:r>
        <w:t xml:space="preserve">in the canonical sample,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176</m:t>
        </m:r>
      </m:oMath>
      <w:r>
        <w:t xml:space="preserve">, giving a</w:t>
      </w:r>
      <w:r>
        <w:t xml:space="preserve"> </w:t>
      </w:r>
      <w:r>
        <w:t xml:space="preserve">posterior over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∼</m:t>
        </m:r>
        <m:r>
          <m:t>2100</m:t>
        </m:r>
      </m:oMath>
      <w:r>
        <w:t xml:space="preserve"> </w:t>
      </w:r>
      <w:r>
        <w:t xml:space="preserve">parameters and</w:t>
      </w:r>
      <w:r>
        <w:t xml:space="preserve"> </w:t>
      </w:r>
      <m:oMath>
        <m:r>
          <m:rPr>
            <m:sty m:val="p"/>
          </m:rPr>
          <m:t>∼</m:t>
        </m:r>
        <m:r>
          <m:t>2700</m:t>
        </m:r>
      </m:oMath>
      <w:r>
        <w:t xml:space="preserve"> </w:t>
      </w:r>
      <w:r>
        <w:t xml:space="preserve">documents. The posterior has substantial mass over many</w:t>
      </w:r>
      <w:r>
        <w:t xml:space="preserve"> </w:t>
      </w:r>
      <w:r>
        <w:t xml:space="preserve">high-likelihood configurations, and a band restriction selects a</w:t>
      </w:r>
      <w:r>
        <w:t xml:space="preserve"> </w:t>
      </w:r>
      <w:r>
        <w:t xml:space="preserve">different posterior mode of the same family. The masked fit is not</w:t>
      </w:r>
      <w:r>
        <w:t xml:space="preserve"> </w:t>
      </w:r>
      <w:r>
        <w:rPr>
          <w:i/>
          <w:iCs/>
        </w:rPr>
        <w:t xml:space="preserve">wrong</w:t>
      </w:r>
      <w:r>
        <w:t xml:space="preserve">, it is merely a different sample from a weakly</w:t>
      </w:r>
      <w:r>
        <w:t xml:space="preserve"> </w:t>
      </w:r>
      <w:r>
        <w:t xml:space="preserve">informative posterior.</w:t>
      </w:r>
    </w:p>
    <w:p>
      <w:pPr>
        <w:pStyle w:val="BodyText"/>
      </w:pPr>
      <w:r>
        <w:rPr>
          <w:b/>
          <w:bCs/>
        </w:rPr>
        <w:t xml:space="preserve">Discriminating between (i) and (ii) is out of scope of the</w:t>
      </w:r>
      <w:r>
        <w:rPr>
          <w:b/>
          <w:bCs/>
        </w:rPr>
        <w:t xml:space="preserve"> </w:t>
      </w:r>
      <w:r>
        <w:rPr>
          <w:b/>
          <w:bCs/>
        </w:rPr>
        <w:t xml:space="preserve">diagnostic.</w:t>
      </w:r>
      <w:r>
        <w:t xml:space="preserve"> </w:t>
      </w:r>
      <w:r>
        <w:t xml:space="preserve">A natural follow-up is a posterior-mode-counting</w:t>
      </w:r>
      <w:r>
        <w:t xml:space="preserve"> </w:t>
      </w:r>
      <w:r>
        <w:t xml:space="preserve">diagnostic (refit under many seeds and cluster the resulting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seeds; count distinct</w:t>
      </w:r>
      <w:r>
        <w:t xml:space="preserve"> </w:t>
      </w:r>
      <w:r>
        <w:t xml:space="preserve">clusters above a cosine-similarity threshold). The companion code</w:t>
      </w:r>
      <w:r>
        <w:t xml:space="preserve"> </w:t>
      </w:r>
      <w:r>
        <w:t xml:space="preserve">repository already ships such a diagnostic under</w:t>
      </w:r>
      <w:r>
        <w:t xml:space="preserve"> </w:t>
      </w:r>
      <w:r>
        <w:rPr>
          <w:rStyle w:val="VerbatimChar"/>
        </w:rPr>
        <w:t xml:space="preserve">topic_stability/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deep_seed_stability/</w:t>
      </w:r>
      <w:r>
        <w:t xml:space="preserve"> </w:t>
      </w:r>
      <w:r>
        <w:t xml:space="preserve">but its interpretation is outside</w:t>
      </w:r>
      <w:r>
        <w:t xml:space="preserve"> </w:t>
      </w:r>
      <w:r>
        <w:t xml:space="preserve">this conference paper’s scope.</w:t>
      </w:r>
    </w:p>
    <w:bookmarkEnd w:id="14"/>
    <w:bookmarkEnd w:id="15"/>
    <w:bookmarkStart w:id="16" w:name="reading-the-ari-vs-label-column"/>
    <w:p>
      <w:pPr>
        <w:pStyle w:val="Heading1"/>
      </w:pPr>
      <w:r>
        <w:t xml:space="preserve">Reading the ARI-vs-label column</w:t>
      </w:r>
    </w:p>
    <w:p>
      <w:pPr>
        <w:pStyle w:val="FirstParagraph"/>
      </w:pPr>
      <w:r>
        <w:t xml:space="preserve">A subtle but important point. The ARI-vs-label column in</w:t>
      </w:r>
      <w:r>
        <w:t xml:space="preserve"> </w:t>
      </w:r>
      <w:r>
        <w:t xml:space="preserve">Suppl D Table I reports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nor/>
            <m:sty m:val="p"/>
          </m:rPr>
          <m:t>masked dominant topic</m:t>
        </m:r>
        <m:r>
          <m:rPr>
            <m:sty m:val="p"/>
          </m:rPr>
          <m:t>,</m:t>
        </m:r>
        <m:r>
          <m:rPr>
            <m:nor/>
            <m:sty m:val="p"/>
          </m:rPr>
          <m:t>ground-truth label</m:t>
        </m:r>
        <m:r>
          <m:rPr>
            <m:sty m:val="p"/>
          </m:rPr>
          <m:t>)</m:t>
        </m:r>
      </m:oMath>
      <w:r>
        <w:t xml:space="preserve">. A</w:t>
      </w:r>
      <w:r>
        <w:t xml:space="preserve"> </w:t>
      </w:r>
      <w:r>
        <w:t xml:space="preserve">high value means the masked fit is still discriminating the</w:t>
      </w:r>
      <w:r>
        <w:t xml:space="preserve"> </w:t>
      </w:r>
      <w:r>
        <w:t xml:space="preserve">ground-truth classes even though its topic identities have changed.</w:t>
      </w:r>
      <w:r>
        <w:t xml:space="preserve"> </w:t>
      </w:r>
      <w:r>
        <w:t xml:space="preserve">The clearest example is Pavia U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VNIR with paired ARI</w:t>
      </w:r>
      <w:r>
        <w:t xml:space="preserve"> </w:t>
      </w:r>
      <m:oMath>
        <m:r>
          <m:rPr>
            <m:sty m:val="p"/>
          </m:rPr>
          <m:t>=</m:t>
        </m:r>
        <m:r>
          <m:t>0.415</m:t>
        </m:r>
      </m:oMath>
      <w:r>
        <w:t xml:space="preserve"> </w:t>
      </w:r>
      <w:r>
        <w:t xml:space="preserve">and ARI-vs-label</w:t>
      </w:r>
      <w:r>
        <w:t xml:space="preserve"> </w:t>
      </w:r>
      <m:oMath>
        <m:r>
          <m:rPr>
            <m:sty m:val="p"/>
          </m:rPr>
          <m:t>=</m:t>
        </m:r>
        <m:r>
          <m:t>0.316</m:t>
        </m:r>
      </m:oMath>
      <w:r>
        <w:t xml:space="preserve">: the masked fit is still useful</w:t>
      </w:r>
      <w:r>
        <w:t xml:space="preserve"> </w:t>
      </w:r>
      <w:r>
        <w:t xml:space="preserve">for downstream classification (it preserves about as much label</w:t>
      </w:r>
      <w:r>
        <w:t xml:space="preserve"> </w:t>
      </w:r>
      <w:r>
        <w:t xml:space="preserve">discrimination as the canonical fit,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≈</m:t>
        </m:r>
        <m:r>
          <m:t>0.32</m:t>
        </m:r>
      </m:oMath>
      <w:r>
        <w:t xml:space="preserve">) even</w:t>
      </w:r>
      <w:r>
        <w:t xml:space="preserve"> </w:t>
      </w:r>
      <w:r>
        <w:t xml:space="preserve">though the topic identities have shifted. Conversely, Botswana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SWIR has paired ARI</w:t>
      </w:r>
      <w:r>
        <w:t xml:space="preserve"> </w:t>
      </w:r>
      <m:oMath>
        <m:r>
          <m:rPr>
            <m:sty m:val="p"/>
          </m:rPr>
          <m:t>=</m:t>
        </m:r>
        <m:r>
          <m:t>0.013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ARI-vs-label</w:t>
      </w:r>
      <w:r>
        <w:t xml:space="preserve"> </w:t>
      </w:r>
      <m:oMath>
        <m:r>
          <m:rPr>
            <m:sty m:val="p"/>
          </m:rPr>
          <m:t>=</m:t>
        </m:r>
        <m:r>
          <m:t>0.098</m:t>
        </m:r>
      </m:oMath>
      <w:r>
        <w:t xml:space="preserve">: the masked fit is both topically unstable and operationally</w:t>
      </w:r>
      <w:r>
        <w:t xml:space="preserve"> </w:t>
      </w:r>
      <w:r>
        <w:t xml:space="preserve">weaker.</w:t>
      </w:r>
    </w:p>
    <w:bookmarkEnd w:id="16"/>
    <w:bookmarkStart w:id="21" w:name="what-the-diagnostic-does-not-claim"/>
    <w:p>
      <w:pPr>
        <w:pStyle w:val="Heading1"/>
      </w:pPr>
      <w:r>
        <w:t xml:space="preserve">What the diagnostic does NOT claim</w:t>
      </w:r>
    </w:p>
    <w:p>
      <w:pPr>
        <w:pStyle w:val="FirstParagraph"/>
      </w:pPr>
      <w:r>
        <w:t xml:space="preserve">We close with four explicit non-claims:</w:t>
      </w:r>
    </w:p>
    <w:bookmarkStart w:id="17" w:name="X596876c327ee24eef482a7a601bbfbcf2d1b906"/>
    <w:p>
      <w:pPr>
        <w:pStyle w:val="Heading4"/>
      </w:pPr>
      <w:r>
        <w:t xml:space="preserve">It does not claim a single best band selection.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top-50 Fisher mask achieves the lowest paired-ARI on Indian Pines</w:t>
      </w:r>
      <w:r>
        <w:t xml:space="preserve"> </w:t>
      </w:r>
      <w:r>
        <w:t xml:space="preserve">(</w:t>
      </w:r>
      <m:oMath>
        <m:r>
          <m:t>0.398</m:t>
        </m:r>
      </m:oMath>
      <w:r>
        <w:t xml:space="preserve">) and the highest on Pavia U (</w:t>
      </w:r>
      <m:oMath>
        <m:r>
          <m:t>0.387</m:t>
        </m:r>
      </m:oMath>
      <w:r>
        <w:t xml:space="preserve">), so the same</w:t>
      </w:r>
      <w:r>
        <w:t xml:space="preserve"> </w:t>
      </w:r>
      <w:r>
        <w:t xml:space="preserve">“50-band-budget”</w:t>
      </w:r>
      <w:r>
        <w:t xml:space="preserve"> </w:t>
      </w:r>
      <w:r>
        <w:t xml:space="preserve">mask is interpretable differently on different</w:t>
      </w:r>
      <w:r>
        <w:t xml:space="preserve"> </w:t>
      </w:r>
      <w:r>
        <w:t xml:space="preserve">scenes. Selecting a band budget for a downstream product is a</w:t>
      </w:r>
      <w:r>
        <w:t xml:space="preserve"> </w:t>
      </w:r>
      <w:r>
        <w:t xml:space="preserve">separate optimisation that should marginalise over the per-scene</w:t>
      </w:r>
      <w:r>
        <w:t xml:space="preserve"> </w:t>
      </w:r>
      <w:r>
        <w:t xml:space="preserve">diagnostic.</w:t>
      </w:r>
    </w:p>
    <w:bookmarkEnd w:id="17"/>
    <w:bookmarkStart w:id="18" w:name="X13ece6b3eb4b03f112ddff7a7bd8353c7000e27"/>
    <w:p>
      <w:pPr>
        <w:pStyle w:val="Heading4"/>
      </w:pPr>
      <w:r>
        <w:t xml:space="preserve">It does not claim a chance-baseline threshold.</w:t>
      </w:r>
    </w:p>
    <w:p>
      <w:pPr>
        <w:pStyle w:val="FirstParagraph"/>
      </w:pPr>
      <w:r>
        <w:t xml:space="preserve">Statistical significance of paired ARI under a permutation null is</w:t>
      </w:r>
      <w:r>
        <w:t xml:space="preserve"> </w:t>
      </w:r>
      <w:r>
        <w:t xml:space="preserve">not reported here; the threshold for</w:t>
      </w:r>
      <w:r>
        <w:t xml:space="preserve"> </w:t>
      </w:r>
      <w:r>
        <w:t xml:space="preserve">“meaningful agreement”</w:t>
      </w:r>
      <w:r>
        <w:t xml:space="preserve"> </w:t>
      </w:r>
      <w:r>
        <w:t xml:space="preserve">is a</w:t>
      </w:r>
      <w:r>
        <w:t xml:space="preserve"> </w:t>
      </w:r>
      <w:r>
        <w:t xml:space="preserve">matter of judgement on the present sample sizes (</w:t>
      </w:r>
      <m:oMath>
        <m:r>
          <m:t>D</m:t>
        </m:r>
        <m:r>
          <m:rPr>
            <m:sty m:val="p"/>
          </m:rPr>
          <m:t>=</m:t>
        </m:r>
        <m:r>
          <m:t>1320</m:t>
        </m:r>
      </m:oMath>
      <w:r>
        <w:t xml:space="preserve">–</w:t>
      </w:r>
      <m:oMath>
        <m:r>
          <m:t>3520</m:t>
        </m:r>
      </m:oMath>
      <w:r>
        <w:t xml:space="preserve">).</w:t>
      </w:r>
      <w:r>
        <w:t xml:space="preserve"> </w:t>
      </w:r>
      <w:r>
        <w:t xml:space="preserve">A formal permutation test is in the companion code repository under</w:t>
      </w:r>
      <w:r>
        <w:t xml:space="preserve"> </w:t>
      </w:r>
      <w:r>
        <w:rPr>
          <w:rStyle w:val="VerbatimChar"/>
        </w:rPr>
        <w:t xml:space="preserve">validation_blocks/</w:t>
      </w:r>
      <w:r>
        <w:t xml:space="preserve">.</w:t>
      </w:r>
    </w:p>
    <w:bookmarkEnd w:id="18"/>
    <w:bookmarkStart w:id="19" w:name="X3d18e14bd7fd78a243a2898813299e04455585e"/>
    <w:p>
      <w:pPr>
        <w:pStyle w:val="Heading4"/>
      </w:pPr>
      <w:r>
        <w:t xml:space="preserve">It does not claim that band-fragility implies model</w:t>
      </w:r>
      <w:r>
        <w:t xml:space="preserve"> </w:t>
      </w:r>
      <w:r>
        <w:t xml:space="preserve">inadequacy.</w:t>
      </w:r>
    </w:p>
    <w:p>
      <w:pPr>
        <w:pStyle w:val="FirstParagraph"/>
      </w:pPr>
      <w:r>
        <w:t xml:space="preserve">A scene whose canonical topics are band-fragile may</w:t>
      </w:r>
      <w:r>
        <w:t xml:space="preserve"> </w:t>
      </w:r>
      <w:r>
        <w:t xml:space="preserve">still admit a useful interpretation under a different inductive bias</w:t>
      </w:r>
      <w:r>
        <w:t xml:space="preserve"> </w:t>
      </w:r>
      <w:r>
        <w:t xml:space="preserve">(e.g. deep autoencoder embedding); the diagnostic asks specifically</w:t>
      </w:r>
      <w:r>
        <w:t xml:space="preserve"> </w:t>
      </w:r>
      <w:r>
        <w:t xml:space="preserve">whether the</w:t>
      </w:r>
      <w:r>
        <w:t xml:space="preserve"> </w:t>
      </w:r>
      <w:r>
        <w:rPr>
          <w:i/>
          <w:iCs/>
        </w:rPr>
        <w:t xml:space="preserve">LDA</w:t>
      </w:r>
      <w:r>
        <w:t xml:space="preserve"> </w:t>
      </w:r>
      <w:r>
        <w:t xml:space="preserve">basis is band-robust, not whether the data</w:t>
      </w:r>
      <w:r>
        <w:t xml:space="preserve"> </w:t>
      </w:r>
      <w:r>
        <w:t xml:space="preserve">admits any band-robust representation.</w:t>
      </w:r>
    </w:p>
    <w:bookmarkEnd w:id="19"/>
    <w:bookmarkStart w:id="20" w:name="Xe439c0db643bd577440be7730b0c6001750998e"/>
    <w:p>
      <w:pPr>
        <w:pStyle w:val="Heading4"/>
      </w:pPr>
      <w:r>
        <w:t xml:space="preserve">It does not claim transferability to non-AVIRIS sensors</w:t>
      </w:r>
      <w:r>
        <w:t xml:space="preserve"> </w:t>
      </w:r>
      <w:r>
        <w:t xml:space="preserve">without recalibration.</w:t>
      </w:r>
    </w:p>
    <w:p>
      <w:pPr>
        <w:pStyle w:val="FirstParagraph"/>
      </w:pPr>
      <w:r>
        <w:t xml:space="preserve">The band-mask wavelengths are read from the</w:t>
      </w:r>
      <w:r>
        <w:t xml:space="preserve"> </w:t>
      </w:r>
      <w:r>
        <w:t xml:space="preserve">per-scene</w:t>
      </w:r>
      <w:r>
        <w:t xml:space="preserve"> </w:t>
      </w:r>
      <w:r>
        <w:rPr>
          <w:rStyle w:val="VerbatimChar"/>
        </w:rPr>
        <w:t xml:space="preserve">wavelengths_nm</w:t>
      </w:r>
      <w:r>
        <w:t xml:space="preserve"> </w:t>
      </w:r>
      <w:r>
        <w:t xml:space="preserve">metadata; running the diagnostic</w:t>
      </w:r>
      <w:r>
        <w:t xml:space="preserve"> </w:t>
      </w:r>
      <w:r>
        <w:t xml:space="preserve">on a sensor with different band centres requires recomputing the</w:t>
      </w:r>
      <w:r>
        <w:t xml:space="preserve"> </w:t>
      </w:r>
      <w:r>
        <w:t xml:space="preserve">mask membership functions but no algorithmic change.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E — Extended discussion Companion to: A Band-Mask Robustness Diagnostic for LDA on HSI</dc:title>
  <dc:creator>Felipe Santibáñez-Leal</dc:creator>
  <cp:keywords/>
  <dcterms:created xsi:type="dcterms:W3CDTF">2026-05-18T18:31:13Z</dcterms:created>
  <dcterms:modified xsi:type="dcterms:W3CDTF">2026-05-18T18:31:13Z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../../bibliography/refs.bib</vt:lpwstr>
  </property>
  <property fmtid="{D5CDD505-2E9C-101B-9397-08002B2CF9AE}" pid="3" name="date">
    <vt:lpwstr>2026</vt:lpwstr>
  </property>
</Properties>
</file>