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Post-hoc Interpretability of LDA on Hyperspectral Imagery:</w:t>
      </w:r>
      <w:r>
        <w:t xml:space="preserve"> </w:t>
      </w:r>
      <w:r>
        <w:t xml:space="preserve">SHAP Attributions, Counterfactual Topic Flips, and LLM-judge</w:t>
      </w:r>
      <w:r>
        <w:t xml:space="preserve"> </w:t>
      </w:r>
      <w:r>
        <w:t xml:space="preserve">Alignment under Vocabulary-Size Asymmetry</w:t>
      </w:r>
    </w:p>
    <w:p>
      <w:pPr>
        <w:pStyle w:val="Author"/>
      </w:pPr>
      <w:r>
        <w:t xml:space="preserve">Felipe Santibáñez-Leal, 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2"/>
      </w:r>
    </w:p>
    <w:bookmarkStart w:id="14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companion paper (P3) ranks the full V1–V20 wordification sweep</w:t>
      </w:r>
      <w:r>
        <w:t xml:space="preserve"> </w:t>
      </w:r>
      <w:r>
        <w:t xml:space="preserve">(nineteen recipes; V16 is scaffolded only) on classification,</w:t>
      </w:r>
      <w:r>
        <w:t xml:space="preserve"> </w:t>
      </w:r>
      <w:r>
        <w:t xml:space="preserve">coherence and label-coupling axes. The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claim of LDA-on-HSI — that topic–word</w:t>
      </w:r>
      <w:r>
        <w:t xml:space="preserve"> </w:t>
      </w:r>
      <w:r>
        <w:t xml:space="preserve">distributions reveal physical structure — is implicit in those</w:t>
      </w:r>
      <w:r>
        <w:t xml:space="preserve"> </w:t>
      </w:r>
      <w:r>
        <w:t xml:space="preserve">axes but not directly tested by them. Three post-hoc interpretability</w:t>
      </w:r>
      <w:r>
        <w:t xml:space="preserve"> </w:t>
      </w:r>
      <w:r>
        <w:t xml:space="preserve">tools have been proposed in the broader topic-modelling literature</w:t>
      </w:r>
      <w:r>
        <w:t xml:space="preserve"> </w:t>
      </w:r>
      <w:r>
        <w:t xml:space="preserve">that go beyond</w:t>
      </w:r>
      <w:r>
        <w:t xml:space="preserve"> </w:t>
      </w:r>
      <w:r>
        <w:t xml:space="preserve">“read the top-N words and trust them”</w:t>
      </w:r>
      <w:r>
        <w:t xml:space="preserve">: SHAP</w:t>
      </w:r>
      <w:r>
        <w:t xml:space="preserve"> </w:t>
      </w:r>
      <w:r>
        <w:t xml:space="preserve">attribution</w:t>
      </w:r>
      <w:r>
        <w:t xml:space="preserve"> </w:t>
      </w:r>
      <w:r>
        <w:t xml:space="preserve">(</w:t>
      </w:r>
      <w:r>
        <w:rPr>
          <w:b/>
          <w:bCs/>
        </w:rPr>
        <w:t xml:space="preserve">lundberg2017shap?</w:t>
      </w:r>
      <w:r>
        <w:t xml:space="preserve">)</w:t>
      </w:r>
      <w:r>
        <w:t xml:space="preserve">, counterfactual explanations</w:t>
      </w:r>
      <w:r>
        <w:t xml:space="preserve"> </w:t>
      </w:r>
      <w:r>
        <w:t xml:space="preserve">(</w:t>
      </w:r>
      <w:r>
        <w:rPr>
          <w:b/>
          <w:bCs/>
        </w:rPr>
        <w:t xml:space="preserve">wachter2017counterfactual?</w:t>
      </w:r>
      <w:r>
        <w:t xml:space="preserve">)</w:t>
      </w:r>
      <w:r>
        <w:t xml:space="preserve">, and LLM-as-judge alignment</w:t>
      </w:r>
      <w:r>
        <w:t xml:space="preserve"> </w:t>
      </w:r>
      <w:r>
        <w:t xml:space="preserve">(</w:t>
      </w:r>
      <w:r>
        <w:rPr>
          <w:b/>
          <w:bCs/>
        </w:rPr>
        <w:t xml:space="preserve">stammbach2023revisiting?</w:t>
      </w:r>
      <w:r>
        <w:t xml:space="preserve">;</w:t>
      </w:r>
      <w:r>
        <w:t xml:space="preserve"> </w:t>
      </w:r>
      <w:r>
        <w:rPr>
          <w:b/>
          <w:bCs/>
        </w:rPr>
        <w:t xml:space="preserve">yang2025bridging?</w:t>
      </w:r>
      <w:r>
        <w:t xml:space="preserve">)</w:t>
      </w:r>
      <w:r>
        <w:t xml:space="preserve">. We instantiate all</w:t>
      </w:r>
      <w:r>
        <w:t xml:space="preserve"> </w:t>
      </w:r>
      <w:r>
        <w:t xml:space="preserve">three on the V-sweep under the LDA backbone and report findings.</w:t>
      </w:r>
    </w:p>
    <w:bookmarkStart w:id="13" w:name="subsec:axes"/>
    <w:p>
      <w:pPr>
        <w:pStyle w:val="Heading2"/>
      </w:pPr>
      <w:r>
        <w:t xml:space="preserve">The three axes</w:t>
      </w:r>
    </w:p>
    <w:p>
      <w:pPr>
        <w:pStyle w:val="FirstParagraph"/>
      </w:pPr>
      <w:r>
        <w:rPr>
          <w:b/>
          <w:bCs/>
        </w:rPr>
        <w:t xml:space="preserve">F-13 SHAP attribution.</w:t>
      </w:r>
      <w:r>
        <w:t xml:space="preserve"> </w:t>
      </w:r>
      <w:r>
        <w:t xml:space="preserve">For each pixel document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argmax topic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attribute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back to the recipe-</w:t>
      </w:r>
      <w:r>
        <w:t xml:space="preserve"> </w:t>
      </w:r>
      <w:r>
        <w:t xml:space="preserve">specific tokens via SHAP’s KernelExplainer against the closed-form</w:t>
      </w:r>
      <w:r>
        <w:t xml:space="preserve"> </w:t>
      </w:r>
      <w:r>
        <w:t xml:space="preserve">LDA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v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ϕ</m:t>
            </m:r>
          </m:e>
          <m:sub>
            <m:r>
              <m:t>z</m:t>
            </m:r>
            <m:r>
              <m:rPr>
                <m:sty m:val="p"/>
              </m:rPr>
              <m:t>,</m:t>
            </m:r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log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gives a per-pixel per-topic attribution map over the</w:t>
      </w:r>
      <w:r>
        <w:t xml:space="preserve"> </w:t>
      </w:r>
      <w:r>
        <w:t xml:space="preserve">recipe’s vocabulary — exactly the type of explanation a reviewer</w:t>
      </w:r>
      <w:r>
        <w:t xml:space="preserve"> </w:t>
      </w:r>
      <w:r>
        <w:t xml:space="preserve">would ask for when claiming</w:t>
      </w:r>
      <w:r>
        <w:t xml:space="preserve"> </w:t>
      </w:r>
      <w:r>
        <w:t xml:space="preserve">“LDA is interpretable”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F-22 counterfactual L1.</w:t>
      </w:r>
      <w:r>
        <w:t xml:space="preserve"> </w:t>
      </w:r>
      <w:r>
        <w:t xml:space="preserve">For each document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argmax</w:t>
      </w:r>
      <w:r>
        <w:t xml:space="preserve"> </w:t>
      </w:r>
      <w:r>
        <w:t xml:space="preserve">topic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search via coordinate descent for the minimum-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perturbation that flips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Documents with high counterfactual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deeply embedded in</w:t>
      </w:r>
      <w:r>
        <w:t xml:space="preserve"> </w:t>
      </w:r>
      <w:r>
        <w:t xml:space="preserve">their topic; documents with low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 the topic boundary.</w:t>
      </w:r>
    </w:p>
    <w:p>
      <w:pPr>
        <w:pStyle w:val="BodyText"/>
      </w:pPr>
      <w:r>
        <w:rPr>
          <w:b/>
          <w:bCs/>
        </w:rPr>
        <w:t xml:space="preserve">F-15 LLM-as-judge alignment.</w:t>
      </w:r>
      <w:r>
        <w:t xml:space="preserve"> </w:t>
      </w:r>
      <w:r>
        <w:t xml:space="preserve">For each sampled document, an</w:t>
      </w:r>
      <w:r>
        <w:t xml:space="preserve"> </w:t>
      </w:r>
      <w:r>
        <w:t xml:space="preserve">LLM oracle is given the document’s top-10 tokens and the argmax</w:t>
      </w:r>
      <w:r>
        <w:t xml:space="preserve"> </w:t>
      </w:r>
      <w:r>
        <w:t xml:space="preserve">topic’s top-10 tokens and asked whether the document semantically</w:t>
      </w:r>
      <w:r>
        <w:t xml:space="preserve"> </w:t>
      </w:r>
      <w:r>
        <w:t xml:space="preserve">belongs to the topic. Our internal run substitutes the oracle with</w:t>
      </w:r>
      <w:r>
        <w:t xml:space="preserve"> </w:t>
      </w:r>
      <w:r>
        <w:t xml:space="preserve">the documented self-judgment rule of Claude Opus 4.7 (1M-token</w:t>
      </w:r>
      <w:r>
        <w:t xml:space="preserve"> </w:t>
      </w:r>
      <w:r>
        <w:t xml:space="preserve">context), encoded as a deterministic Python function in</w:t>
      </w:r>
      <w:r>
        <w:t xml:space="preserve"> </w:t>
      </w:r>
      <w:r>
        <w:rPr>
          <w:rStyle w:val="VerbatimChar"/>
        </w:rPr>
        <w:t xml:space="preserve">build_v_sweep_f15_self_judge.py</w:t>
      </w:r>
      <w:r>
        <w:t xml:space="preserve">; the canonical</w:t>
      </w:r>
      <w:r>
        <w:t xml:space="preserve"> </w:t>
      </w:r>
      <w:r>
        <w:t xml:space="preserve">Anthropic Messages API call is preserved in</w:t>
      </w:r>
      <w:r>
        <w:t xml:space="preserve"> </w:t>
      </w:r>
      <w:r>
        <w:rPr>
          <w:rStyle w:val="VerbatimChar"/>
        </w:rPr>
        <w:t xml:space="preserve">build_v_sweep_f15_llm_alignment.py</w:t>
      </w:r>
      <w:r>
        <w:t xml:space="preserve"> </w:t>
      </w:r>
      <w:r>
        <w:t xml:space="preserve">for repository users</w:t>
      </w:r>
      <w:r>
        <w:t xml:space="preserve"> </w:t>
      </w:r>
      <w:r>
        <w:t xml:space="preserve">with API access.</w:t>
      </w:r>
    </w:p>
    <w:bookmarkEnd w:id="13"/>
    <w:bookmarkEnd w:id="14"/>
    <w:bookmarkStart w:id="15" w:name="sec:f13"/>
    <w:p>
      <w:pPr>
        <w:pStyle w:val="Heading1"/>
      </w:pPr>
      <w:r>
        <w:t xml:space="preserve">F-13 SHAP results</w:t>
      </w:r>
    </w:p>
    <w:p>
      <w:pPr>
        <w:pStyle w:val="FirstParagraph"/>
      </w:pPr>
      <w:r>
        <w:t xml:space="preserve">We sample 50 documents per (V, scene) cell, use 25 background</w:t>
      </w:r>
      <w:r>
        <w:t xml:space="preserve"> </w:t>
      </w:r>
      <w:r>
        <w:t xml:space="preserve">documents per SHAP call, and report the top-8 tokens per topic by</w:t>
      </w:r>
      <w:r>
        <w:t xml:space="preserve"> </w:t>
      </w:r>
      <w:r>
        <w:t xml:space="preserve">mean absolute SHAP value. The closed-form posterior is preferred over</w:t>
      </w:r>
      <w:r>
        <w:t xml:space="preserve"> </w:t>
      </w:r>
      <w:r>
        <w:t xml:space="preserve">sklearn’s amortised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because the latter needs</w:t>
      </w:r>
      <w:r>
        <w:t xml:space="preserve"> </w:t>
      </w:r>
      <w:r>
        <w:t xml:space="preserve">internal state we cannot fully restore from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alone.</w:t>
      </w:r>
    </w:p>
    <w:p>
      <w:pPr>
        <w:pStyle w:val="BodyText"/>
      </w:pPr>
      <w:r>
        <w:t xml:space="preserve">The headline result is that SHAP attributions are</w:t>
      </w:r>
      <w:r>
        <w:t xml:space="preserve"> </w:t>
      </w:r>
      <w:r>
        <w:rPr>
          <w:i/>
          <w:iCs/>
        </w:rPr>
        <w:t xml:space="preserve">recipe-grounded</w:t>
      </w:r>
      <w:r>
        <w:t xml:space="preserve">: a V1 topic’s top SHAP token always names a</w:t>
      </w:r>
      <w:r>
        <w:t xml:space="preserve"> </w:t>
      </w:r>
      <w:r>
        <w:t xml:space="preserve">wavelength band; a V7 topic’s top SHAP token names an absorption</w:t>
      </w:r>
      <w:r>
        <w:t xml:space="preserve"> </w:t>
      </w:r>
      <w:r>
        <w:t xml:space="preserve">feature</w:t>
      </w:r>
      <w:r>
        <w:t xml:space="preserve"> </w:t>
      </w:r>
      <w:r>
        <w:t xml:space="preserve">“</w:t>
      </w:r>
      <w:r>
        <w:rPr>
          <w:rStyle w:val="VerbatimChar"/>
        </w:rPr>
        <w:t xml:space="preserve">abs_c4_d7_a3</w:t>
      </w:r>
      <w:r>
        <w:t xml:space="preserve">”</w:t>
      </w:r>
      <w:r>
        <w:t xml:space="preserve"> </w:t>
      </w:r>
      <w:r>
        <w:t xml:space="preserve">(centre, depth, area bucket);</w:t>
      </w:r>
      <w:r>
        <w:t xml:space="preserve"> </w:t>
      </w:r>
      <w:r>
        <w:t xml:space="preserve">a V12 topic’s top SHAP token names a (band, Gaussian-component)</w:t>
      </w:r>
      <w:r>
        <w:t xml:space="preserve"> </w:t>
      </w:r>
      <w:r>
        <w:t xml:space="preserve">pair. This recipe-grounding is what makes F-13 a defensible</w:t>
      </w:r>
      <w:r>
        <w:t xml:space="preserve"> </w:t>
      </w:r>
      <w:r>
        <w:t xml:space="preserve">interpretability axis: the explanation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silently shift</w:t>
      </w:r>
      <w:r>
        <w:t xml:space="preserve"> </w:t>
      </w:r>
      <w:r>
        <w:t xml:space="preserve">between scenes because the vocabulary is fixed by the recipe.</w:t>
      </w:r>
    </w:p>
    <w:p>
      <w:pPr>
        <w:pStyle w:val="BodyText"/>
      </w:pPr>
      <w:r>
        <w:t xml:space="preserve">A sample from Indian Pines, recipe V7, topic 0:</w:t>
      </w:r>
    </w:p>
    <w:p>
      <w:pPr>
        <w:pStyle w:val="SourceCode"/>
      </w:pPr>
      <w:r>
        <w:rPr>
          <w:rStyle w:val="VerbatimChar"/>
        </w:rPr>
        <w:t xml:space="preserve">abs_c4_d7_a3   mean|SHAP| = 0.0207</w:t>
      </w:r>
      <w:r>
        <w:br/>
      </w:r>
      <w:r>
        <w:rPr>
          <w:rStyle w:val="VerbatimChar"/>
        </w:rPr>
        <w:t xml:space="preserve">abs_c3_d4_a2   mean|SHAP| = 0.0184</w:t>
      </w:r>
      <w:r>
        <w:br/>
      </w:r>
      <w:r>
        <w:rPr>
          <w:rStyle w:val="VerbatimChar"/>
        </w:rPr>
        <w:t xml:space="preserve">abs_c4_d6_a3   mean|SHAP| = 0.0163</w:t>
      </w:r>
    </w:p>
    <w:p>
      <w:pPr>
        <w:pStyle w:val="FirstParagraph"/>
      </w:pPr>
      <w:r>
        <w:t xml:space="preserve">A geospectroscopist reading these can immediately ask: what is the</w:t>
      </w:r>
      <w:r>
        <w:t xml:space="preserve"> </w:t>
      </w:r>
      <w:r>
        <w:t xml:space="preserve">wavelength range of centroid bucket 4? Why are depth bins 6 and 7</w:t>
      </w:r>
      <w:r>
        <w:t xml:space="preserve"> </w:t>
      </w:r>
      <w:r>
        <w:t xml:space="preserve">elevated? The answer is independent of which scene we apply V7 to.</w:t>
      </w:r>
    </w:p>
    <w:bookmarkEnd w:id="15"/>
    <w:bookmarkStart w:id="17" w:name="sec:f22"/>
    <w:p>
      <w:pPr>
        <w:pStyle w:val="Heading1"/>
      </w:pPr>
      <w:r>
        <w:t xml:space="preserve">F-22 counterfactual results</w:t>
      </w:r>
    </w:p>
    <w:p>
      <w:pPr>
        <w:pStyle w:val="FirstParagraph"/>
      </w:pPr>
      <w:r>
        <w:t xml:space="preserve">Table </w:t>
      </w:r>
      <w:hyperlink w:anchor="tab:f22-summary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median minimum-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perturbation that flips the argmax topic, averaged across 20 sampled</w:t>
      </w:r>
      <w:r>
        <w:t xml:space="preserve"> </w:t>
      </w:r>
      <w:r>
        <w:t xml:space="preserve">documents per (V, scene) cell.</w:t>
      </w:r>
    </w:p>
    <w:bookmarkStart w:id="16" w:name="tab:f22-summary"/>
    <w:p>
      <w:pPr>
        <w:pStyle w:val="TableCaption"/>
      </w:pPr>
      <w:r>
        <w:t xml:space="preserve">F-22 median counterfactual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flip argmax topic, mean</w:t>
      </w:r>
      <w:r>
        <w:t xml:space="preserve"> </w:t>
      </w:r>
      <w:r>
        <w:t xml:space="preserve">across 6 labelled scenes, full 19-recipe sweep with the sentinel patch</w:t>
      </w:r>
      <w:r>
        <w:t xml:space="preserve"> </w:t>
      </w:r>
      <w:r>
        <w:t xml:space="preserve">(cells where every sampled document fails to flip within</w:t>
      </w:r>
      <w:r>
        <w:t xml:space="preserve"> </w:t>
      </w:r>
      <m:oMath>
        <m:r>
          <m:rPr>
            <m:nor/>
            <m:sty m:val="p"/>
          </m:rPr>
          <m:t>MAX_STEPS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persist at 50 rather than being dropped).</w:t>
      </w:r>
      <w:r>
        <w:t xml:space="preserve"> </w:t>
      </w:r>
      <w:r>
        <w:t xml:space="preserve">Higher means more robust topic boundary.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22 median counterfactual L_1 to flip argmax topic, mean across 6 labelled scenes, full 19-recipe sweep with the sentinel patch (cells where every sampled document fails to flip within \text{MAX\_STEPS}=50 persist at 50 rather than being dropped). Higher means more robust topic boundary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26.33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</w:tbl>
    <w:bookmarkEnd w:id="16"/>
    <w:p>
      <w:pPr>
        <w:pStyle w:val="BodyText"/>
      </w:pPr>
      <w:r>
        <w:t xml:space="preserve">V20’s topics are</w:t>
      </w:r>
      <w:r>
        <w:t xml:space="preserve"> </w:t>
      </w:r>
      <m:oMath>
        <m:r>
          <m:rPr>
            <m:sty m:val="p"/>
          </m:rPr>
          <m:t>∼</m:t>
        </m:r>
        <m:r>
          <m:t>26</m:t>
        </m:r>
        <m:r>
          <m:rPr>
            <m:sty m:val="p"/>
          </m:rPr>
          <m:t>×</m:t>
        </m:r>
      </m:oMath>
      <w:r>
        <w:t xml:space="preserve"> </w:t>
      </w:r>
      <w:r>
        <w:t xml:space="preserve">harder to flip than V9’s, and V20</w:t>
      </w:r>
      <w:r>
        <w:t xml:space="preserve"> </w:t>
      </w:r>
      <w:r>
        <w:t xml:space="preserve">edges V12 (24.5) and V3 (23.5) for the most-robust basis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This complements P3’s F-2/F-7 finding: the label-aware MI-weighted</w:t>
      </w:r>
      <w:r>
        <w:t xml:space="preserve"> </w:t>
      </w:r>
      <w:r>
        <w:t xml:space="preserve">recipe V20 wins coherence-adjacent robustness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(at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32</m:t>
        </m:r>
      </m:oMath>
      <w:r>
        <w:t xml:space="preserve">)</w:t>
      </w:r>
      <w:r>
        <w:t xml:space="preserve"> </w:t>
      </w:r>
      <w:r>
        <w:t xml:space="preserve">F-7, which together rule out the alternative explanation that the</w:t>
      </w:r>
      <w:r>
        <w:t xml:space="preserve"> </w:t>
      </w:r>
      <w:r>
        <w:t xml:space="preserve">coherence advantage is an artefact of overfitting to its training</w:t>
      </w:r>
      <w:r>
        <w:t xml:space="preserve"> </w:t>
      </w:r>
      <w:r>
        <w:t xml:space="preserve">documents.</w:t>
      </w:r>
    </w:p>
    <w:bookmarkEnd w:id="17"/>
    <w:bookmarkStart w:id="19" w:name="sec:f15"/>
    <w:p>
      <w:pPr>
        <w:pStyle w:val="Heading1"/>
      </w:pPr>
      <w:r>
        <w:t xml:space="preserve">F-15 LLM-judge results and the vocabulary-size confounder</w:t>
      </w:r>
    </w:p>
    <w:p>
      <w:pPr>
        <w:pStyle w:val="FirstParagraph"/>
      </w:pPr>
      <w:r>
        <w:t xml:space="preserve">The LLM-as-judge rule is: a document is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with its argmax</w:t>
      </w:r>
      <w:r>
        <w:t xml:space="preserve"> </w:t>
      </w:r>
      <w:r>
        <w:t xml:space="preserve">topic if its top-10 tokens share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elements with the topic’s</w:t>
      </w:r>
      <w:r>
        <w:t xml:space="preserve"> </w:t>
      </w:r>
      <w:r>
        <w:t xml:space="preserve">top-10 (or if the document’s top-1 token is in the topic’s top-5,</w:t>
      </w:r>
      <w:r>
        <w:t xml:space="preserve"> </w:t>
      </w:r>
      <w:r>
        <w:t xml:space="preserve">covering the sparse-event regime of V7 / V9). Per-recipe mean F-15</w:t>
      </w:r>
      <w:r>
        <w:t xml:space="preserve"> </w:t>
      </w:r>
      <w:r>
        <w:t xml:space="preserve">across 6 scenes:</w:t>
      </w:r>
    </w:p>
    <w:bookmarkStart w:id="18" w:name="tab:f15"/>
    <w:p>
      <w:pPr>
        <w:pStyle w:val="TableCaption"/>
      </w:pPr>
      <w:r>
        <w:t xml:space="preserve">F-15 LLM-judge alignment fraction (Claude Opus 4.7 self-judge</w:t>
      </w:r>
      <w:r>
        <w:t xml:space="preserve"> </w:t>
      </w:r>
      <w:r>
        <w:t xml:space="preserve">under the documented rule).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15 LLM-judge alignment fraction (Claude Opus 4.7 self-judge under the documented rule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vocabulary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≈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R</m:t>
              </m:r>
              <m:r>
                <m:rPr>
                  <m:sty m:val="p"/>
                </m:rPr>
                <m:t>⋅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</w:tbl>
    <w:bookmarkEnd w:id="18"/>
    <w:p>
      <w:pPr>
        <w:pStyle w:val="BodyText"/>
      </w:pPr>
      <w:r>
        <w:t xml:space="preserve">The ranking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F-2 coherence on the</w:t>
      </w:r>
      <w:r>
        <w:t xml:space="preserve"> </w:t>
      </w:r>
      <w:r>
        <w:t xml:space="preserve">large-vocabulary recipes V3 and V12. This is not a flaw of those</w:t>
      </w:r>
      <w:r>
        <w:t xml:space="preserve"> </w:t>
      </w:r>
      <w:r>
        <w:t xml:space="preserve">recipes; it is a confounder in the F-15 metric definition — but the</w:t>
      </w:r>
      <w:r>
        <w:t xml:space="preserve"> </w:t>
      </w:r>
      <w:r>
        <w:t xml:space="preserve">full 19-recipe sweep shows the confounder is</w:t>
      </w:r>
      <w:r>
        <w:t xml:space="preserve"> </w:t>
      </w:r>
      <w:r>
        <w:rPr>
          <w:b/>
          <w:bCs/>
        </w:rPr>
        <w:t xml:space="preserve">not nominal</w:t>
      </w:r>
      <w:r>
        <w:rPr>
          <w:b/>
          <w:bCs/>
        </w:rPr>
        <w:t xml:space="preserve"> </w:t>
      </w:r>
      <w:r>
        <w:rPr>
          <w:b/>
          <w:bCs/>
        </w:rPr>
        <w:t xml:space="preserve">vocabulary cardinality</w:t>
      </w:r>
      <w:r>
        <w:t xml:space="preserve">. Two large-vocabulary recipes break the</w:t>
      </w:r>
      <w:r>
        <w:t xml:space="preserve"> </w:t>
      </w:r>
      <w:r>
        <w:t xml:space="preserve">pattern: V14 (CWT-Morlet,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1024</m:t>
        </m:r>
      </m:oMath>
      <w:r>
        <w:t xml:space="preserve">) scores 0.950, and</w:t>
      </w:r>
      <w:r>
        <w:t xml:space="preserve"> </w:t>
      </w:r>
      <w:r>
        <w:t xml:space="preserve">V20 (MI-weighted,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1160</m:t>
        </m:r>
      </m:oMath>
      <w:r>
        <w:t xml:space="preserve">, essentially V12’s</w:t>
      </w:r>
      <w:r>
        <w:t xml:space="preserve"> </w:t>
      </w:r>
      <m:oMath>
        <m:r>
          <m:t>B</m:t>
        </m:r>
        <m:r>
          <m:t>Q</m:t>
        </m:r>
      </m:oMath>
      <w:r>
        <w:t xml:space="preserve">) scores 0.642 — both far above V12 (0.158) and V3 (0.117)</w:t>
      </w:r>
      <w:r>
        <w:t xml:space="preserve"> </w:t>
      </w:r>
      <w:r>
        <w:t xml:space="preserve">despite comparable or larger vocabularies. What separates them is</w:t>
      </w:r>
      <w:r>
        <w:t xml:space="preserve"> </w:t>
      </w:r>
      <w:r>
        <w:rPr>
          <w:i/>
          <w:iCs/>
        </w:rPr>
        <w:t xml:space="preserve">token-mass concentration</w:t>
      </w:r>
      <w:r>
        <w:t xml:space="preserve">: V20’s MI-weighting and V14’s</w:t>
      </w:r>
      <w:r>
        <w:t xml:space="preserve"> </w:t>
      </w:r>
      <w:r>
        <w:t xml:space="preserve">multi-scale wavelet response place most of each document’s mass on a</w:t>
      </w:r>
      <w:r>
        <w:t xml:space="preserve"> </w:t>
      </w:r>
      <w:r>
        <w:t xml:space="preserve">few tokens, so the top-10 overlap density stays high; V12’s and V3’s</w:t>
      </w:r>
      <w:r>
        <w:t xml:space="preserve"> </w:t>
      </w:r>
      <w:r>
        <w:t xml:space="preserve">mass is spread across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1600 GMM/bin tokens, so top-10 overlap is</w:t>
      </w:r>
      <w:r>
        <w:t xml:space="preserve"> </w:t>
      </w:r>
      <w:r>
        <w:t xml:space="preserve">rare even when the topics are coherent. The confounder is therefore</w:t>
      </w:r>
      <w:r>
        <w:t xml:space="preserve"> </w:t>
      </w:r>
      <w:r>
        <w:t xml:space="preserve">mass dispersion, not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</m:oMath>
      <w:r>
        <w:t xml:space="preserve">. With</w:t>
      </w:r>
      <w:r>
        <w:t xml:space="preserve"> </w:t>
      </w:r>
      <w:r>
        <w:t xml:space="preserve">vocabulary 1600 (V3, V12) and only 10 top tokens, the probability of</w:t>
      </w:r>
      <w:r>
        <w:t xml:space="preserve"> </w:t>
      </w:r>
      <w:r>
        <w:t xml:space="preserve">overlap by chance is small; the LLM oracle has no semantic anchor</w:t>
      </w:r>
      <w:r>
        <w:t xml:space="preserve"> </w:t>
      </w:r>
      <w:r>
        <w:t xml:space="preserve">for comparing tokens that differ in opaque ID. With vocabulary 8</w:t>
      </w:r>
      <w:r>
        <w:t xml:space="preserve"> </w:t>
      </w:r>
      <w:r>
        <w:t xml:space="preserve">(V2) the top-10 of a topic IS the entire vocabulary, so overlap with</w:t>
      </w:r>
      <w:r>
        <w:t xml:space="preserve"> </w:t>
      </w:r>
      <w:r>
        <w:t xml:space="preserve">any document is guaranteed.</w:t>
      </w:r>
    </w:p>
    <w:p>
      <w:pPr>
        <w:pStyle w:val="BodyText"/>
      </w:pPr>
      <w:r>
        <w:t xml:space="preserve">A defensible F-15 would normalise by expected-overlap-under-uniform-</w:t>
      </w:r>
      <w:r>
        <w:t xml:space="preserve"> </w:t>
      </w:r>
      <w:r>
        <w:t xml:space="preserve">random tokens, or use a semantic embedding distance between token</w:t>
      </w:r>
      <w:r>
        <w:t xml:space="preserve"> </w:t>
      </w:r>
      <w:r>
        <w:t xml:space="preserve">identifiers rather than identity matching. We flag both as future</w:t>
      </w:r>
      <w:r>
        <w:t xml:space="preserve"> </w:t>
      </w:r>
      <w:r>
        <w:t xml:space="preserve">work and recommend interpreting Table </w:t>
      </w:r>
      <w:hyperlink w:anchor="tab:f15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alongside the</w:t>
      </w:r>
      <w:r>
        <w:t xml:space="preserve"> </w:t>
      </w:r>
      <w:r>
        <w:t xml:space="preserve">vocabulary-size column.</w:t>
      </w:r>
    </w:p>
    <w:bookmarkEnd w:id="19"/>
    <w:bookmarkStart w:id="25" w:name="sec:v13-v20-interp"/>
    <w:p>
      <w:pPr>
        <w:pStyle w:val="Heading1"/>
      </w:pPr>
      <w:r>
        <w:t xml:space="preserve">Interpretability under the V13–V20 extension</w:t>
      </w:r>
    </w:p>
    <w:p>
      <w:pPr>
        <w:pStyle w:val="FirstParagraph"/>
      </w:pPr>
      <w:r>
        <w:t xml:space="preserve">The V13–V20 recipes added in the P3 extension introduce three new</w:t>
      </w:r>
      <w:r>
        <w:t xml:space="preserve"> </w:t>
      </w:r>
      <w:r>
        <w:t xml:space="preserve">interpretability profiles that complicate the V1–V12 story.</w:t>
      </w:r>
    </w:p>
    <w:bookmarkStart w:id="20" w:name="X2cc13b4145efe3aae177297797500ffbabfe79e"/>
    <w:p>
      <w:pPr>
        <w:pStyle w:val="Heading4"/>
      </w:pPr>
      <w:r>
        <w:t xml:space="preserve">V13 (VQ-VAE codebook) and V17 (sparse-coding dictionary).</w:t>
      </w:r>
    </w:p>
    <w:p>
      <w:pPr>
        <w:pStyle w:val="FirstParagraph"/>
      </w:pPr>
      <w:r>
        <w:t xml:space="preserve">Both recipes produce</w:t>
      </w:r>
      <w:r>
        <w:t xml:space="preserve"> </w:t>
      </w:r>
      <w:r>
        <w:rPr>
          <w:i/>
          <w:iCs/>
        </w:rPr>
        <w:t xml:space="preserve">opaque token alphabets</w:t>
      </w:r>
      <w:r>
        <w:t xml:space="preserve">: the codeword</w:t>
      </w:r>
      <w:r>
        <w:t xml:space="preserve"> </w:t>
      </w:r>
      <w:r>
        <w:t xml:space="preserve">index does not map to a wavelength, an absorption feature, or a</w:t>
      </w:r>
      <w:r>
        <w:t xml:space="preserve"> </w:t>
      </w:r>
      <w:r>
        <w:t xml:space="preserve">band group. F-13 SHAP under V13 surfaces the same top codewords</w:t>
      </w:r>
      <w:r>
        <w:t xml:space="preserve"> </w:t>
      </w:r>
      <w:r>
        <w:t xml:space="preserve">across topics (the codebook is shared across all classes during</w:t>
      </w:r>
      <w:r>
        <w:t xml:space="preserve"> </w:t>
      </w:r>
      <w:r>
        <w:t xml:space="preserve">training), and a domain expert cannot translate those codewords into</w:t>
      </w:r>
      <w:r>
        <w:t xml:space="preserve"> </w:t>
      </w:r>
      <w:r>
        <w:t xml:space="preserve">spectral semantics without a separate decoder visualisation. We</w:t>
      </w:r>
      <w:r>
        <w:t xml:space="preserve"> </w:t>
      </w:r>
      <w:r>
        <w:t xml:space="preserve">classify V13 / V17 as the</w:t>
      </w:r>
      <w:r>
        <w:t xml:space="preserve"> </w:t>
      </w:r>
      <w:r>
        <w:rPr>
          <w:i/>
          <w:iCs/>
        </w:rPr>
        <w:t xml:space="preserve">lowest-interpretability</w:t>
      </w:r>
      <w:r>
        <w:t xml:space="preserve"> </w:t>
      </w:r>
      <w:r>
        <w:t xml:space="preserve">branch of</w:t>
      </w:r>
      <w:r>
        <w:t xml:space="preserve"> </w:t>
      </w:r>
      <w:r>
        <w:t xml:space="preserve">the sweep: even when their F-13 SHAP is reportable, the explanation</w:t>
      </w:r>
      <w:r>
        <w:t xml:space="preserve"> </w:t>
      </w:r>
      <w:r>
        <w:t xml:space="preserve">is recursive —</w:t>
      </w:r>
      <w:r>
        <w:t xml:space="preserve"> </w:t>
      </w:r>
      <w:r>
        <w:t xml:space="preserve">“topic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dominated by codeword</w:t>
      </w:r>
      <w:r>
        <w:t xml:space="preserve"> </w:t>
      </w:r>
      <m:oMath>
        <m:r>
          <m:t>c</m:t>
        </m:r>
      </m:oMath>
      <w:r>
        <w:t xml:space="preserve">, where</w:t>
      </w:r>
      <w:r>
        <w:t xml:space="preserve"> </w:t>
      </w:r>
      <w:r>
        <w:t xml:space="preserve">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centroid of pixels with [unrecoverable from</w:t>
      </w:r>
      <w:r>
        <w:t xml:space="preserve"> </w:t>
      </w:r>
      <w:r>
        <w:t xml:space="preserve">the recipe alone]”</w:t>
      </w:r>
      <w:r>
        <w:t xml:space="preserve">.</w:t>
      </w:r>
    </w:p>
    <w:bookmarkEnd w:id="20"/>
    <w:bookmarkStart w:id="21" w:name="v14-cwt-morlet-and-v18-graph-laplacian."/>
    <w:p>
      <w:pPr>
        <w:pStyle w:val="Heading4"/>
      </w:pPr>
      <w:r>
        <w:t xml:space="preserve">V14 (CWT-Morlet) and V18 (graph-Laplacian).</w:t>
      </w:r>
    </w:p>
    <w:p>
      <w:pPr>
        <w:pStyle w:val="FirstParagraph"/>
      </w:pPr>
      <w:r>
        <w:t xml:space="preserve">The opposite case. V14 tokens are</w:t>
      </w:r>
      <w:r>
        <w:t xml:space="preserve"> </w:t>
      </w:r>
      <w:r>
        <w:rPr>
          <w:rStyle w:val="VerbatimChar"/>
        </w:rPr>
        <w:t xml:space="preserve">(log_scale_idx, position_bucket)</w:t>
      </w:r>
      <w:r>
        <w:t xml:space="preserve">; each pair maps to a</w:t>
      </w:r>
      <w:r>
        <w:t xml:space="preserve"> </w:t>
      </w:r>
      <w:r>
        <w:t xml:space="preserve">specific spectral region at a specific bandwidth. F-13 SHAP under</w:t>
      </w:r>
      <w:r>
        <w:t xml:space="preserve"> </w:t>
      </w:r>
      <w:r>
        <w:t xml:space="preserve">V14 surfaces tokens that are physically interpretable as</w:t>
      </w:r>
      <w:r>
        <w:t xml:space="preserve"> </w:t>
      </w:r>
      <w:r>
        <w:t xml:space="preserve">“absorption around 660 nm with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30 nm bandwidth”</w:t>
      </w:r>
      <w:r>
        <w:t xml:space="preserve">. V18</w:t>
      </w:r>
      <w:r>
        <w:t xml:space="preserve"> </w:t>
      </w:r>
      <w:r>
        <w:t xml:space="preserve">tokens are</w:t>
      </w:r>
      <w:r>
        <w:t xml:space="preserve"> </w:t>
      </w:r>
      <w:r>
        <w:rPr>
          <w:rStyle w:val="VerbatimChar"/>
        </w:rPr>
        <w:t xml:space="preserve">(eigenvector_id, bin)</w:t>
      </w:r>
      <w:r>
        <w:t xml:space="preserve">; the eigenvector index</w:t>
      </w:r>
      <w:r>
        <w:t xml:space="preserve"> </w:t>
      </w:r>
      <w:r>
        <w:t xml:space="preserve">maps to a connected-region of the kNN graph and the bin maps to</w:t>
      </w:r>
      <w:r>
        <w:t xml:space="preserve"> </w:t>
      </w:r>
      <w:r>
        <w:t xml:space="preserve">position along that eigenvector. F-13 SHAP under V18 surfaces</w:t>
      </w:r>
      <w:r>
        <w:t xml:space="preserve"> </w:t>
      </w:r>
      <w:r>
        <w:t xml:space="preserve">topics whose top tokens lie on the same low-frequency Laplacian</w:t>
      </w:r>
      <w:r>
        <w:t xml:space="preserve"> </w:t>
      </w:r>
      <w:r>
        <w:t xml:space="preserve">mode — interpretable as</w:t>
      </w:r>
      <w:r>
        <w:t xml:space="preserve"> </w:t>
      </w:r>
      <w:r>
        <w:t xml:space="preserve">“this topic concentrates on graph mode</w:t>
      </w:r>
      <w:r>
        <w:t xml:space="preserve"> </w:t>
      </w:r>
      <m:oMath>
        <m:r>
          <m:rPr>
            <m:sty m:val="p"/>
          </m:rPr>
          <m:t>≤</m:t>
        </m:r>
        <m:r>
          <m:t>5</m:t>
        </m:r>
      </m:oMath>
      <w:r>
        <w:t xml:space="preserve">, which corresponds to the connected region containing</w:t>
      </w:r>
      <w:r>
        <w:t xml:space="preserve"> </w:t>
      </w:r>
      <w:r>
        <w:t xml:space="preserve">urban classes”</w:t>
      </w:r>
      <w:r>
        <w:t xml:space="preserve">. Both V14 and V18 thus extend the V1 + V7</w:t>
      </w:r>
      <w:r>
        <w:t xml:space="preserve"> </w:t>
      </w:r>
      <w:r>
        <w:t xml:space="preserve">“physically-grounded”</w:t>
      </w:r>
      <w:r>
        <w:t xml:space="preserve"> </w:t>
      </w:r>
      <w:r>
        <w:t xml:space="preserve">interpretability profile to new domains.</w:t>
      </w:r>
    </w:p>
    <w:bookmarkEnd w:id="21"/>
    <w:bookmarkStart w:id="22" w:name="Xcb6a4ced8393a00cd4aed643dfe5037ceac446a"/>
    <w:p>
      <w:pPr>
        <w:pStyle w:val="Heading4"/>
      </w:pPr>
      <w:r>
        <w:t xml:space="preserve">V19 (UMAP coords) and V15 (spectral indices).</w:t>
      </w:r>
    </w:p>
    <w:p>
      <w:pPr>
        <w:pStyle w:val="FirstParagraph"/>
      </w:pPr>
      <w:r>
        <w:t xml:space="preserve">V15 is the easiest: top tokens of every topic map directly to</w:t>
      </w:r>
      <w:r>
        <w:t xml:space="preserve"> </w:t>
      </w:r>
      <w:r>
        <w:t xml:space="preserve">NDVI / MNDWI / NBR / NDSI / EVI / SAVI bins, with published</w:t>
      </w:r>
      <w:r>
        <w:t xml:space="preserve"> </w:t>
      </w:r>
      <w:r>
        <w:t xml:space="preserve">semantics. V19 has the inverse problem of V13 — token names</w:t>
      </w:r>
      <w:r>
        <w:t xml:space="preserve"> </w:t>
      </w:r>
      <w:r>
        <w:rPr>
          <w:rStyle w:val="VerbatimChar"/>
        </w:rPr>
        <w:t xml:space="preserve">(axis_0, q_bin_03)</w:t>
      </w:r>
      <w:r>
        <w:t xml:space="preserve"> </w:t>
      </w:r>
      <w:r>
        <w:t xml:space="preserve">are abstract coordinates with no</w:t>
      </w:r>
      <w:r>
        <w:t xml:space="preserve"> </w:t>
      </w:r>
      <w:r>
        <w:t xml:space="preserve">spectral anchor. The recipe-fit pair determines interpretability</w:t>
      </w:r>
      <w:r>
        <w:t xml:space="preserve"> </w:t>
      </w:r>
      <w:r>
        <w:t xml:space="preserve">as much as the recipe alone.</w:t>
      </w:r>
    </w:p>
    <w:bookmarkEnd w:id="22"/>
    <w:bookmarkStart w:id="23" w:name="v20-mi-weighted-bands."/>
    <w:p>
      <w:pPr>
        <w:pStyle w:val="Heading4"/>
      </w:pPr>
      <w:r>
        <w:t xml:space="preserve">V20 (MI-weighted bands).</w:t>
      </w:r>
    </w:p>
    <w:p>
      <w:pPr>
        <w:pStyle w:val="FirstParagraph"/>
      </w:pPr>
      <w:r>
        <w:t xml:space="preserve">V20 inherits V1’s interpretability (per-band q-bin tokens are</w:t>
      </w:r>
      <w:r>
        <w:t xml:space="preserve"> </w:t>
      </w:r>
      <w:r>
        <w:t xml:space="preserve">spectrally grounded) and adds a label-aware twist:</w:t>
      </w:r>
      <w:r>
        <w:t xml:space="preserve"> </w:t>
      </w:r>
      <w:r>
        <w:t xml:space="preserve">high-MI bands emit more copies than low-MI bands, so the topic</w:t>
      </w:r>
      <w:r>
        <w:t xml:space="preserve"> </w:t>
      </w:r>
      <w:r>
        <w:t xml:space="preserve">top-tokens concentrate on the discriminative subspectrum. F-13 SHAP</w:t>
      </w:r>
      <w:r>
        <w:t xml:space="preserve"> </w:t>
      </w:r>
      <w:r>
        <w:t xml:space="preserve">under V20 therefore surfaces precisely the bands the label</w:t>
      </w:r>
      <w:r>
        <w:t xml:space="preserve"> </w:t>
      </w:r>
      <w:r>
        <w:t xml:space="preserve">information is concentrated in — the interpretability is the same</w:t>
      </w:r>
      <w:r>
        <w:t xml:space="preserve"> </w:t>
      </w:r>
      <w:r>
        <w:t xml:space="preserve">as V1’s, but the SHAP attributions are sharper because the LDA</w:t>
      </w:r>
      <w:r>
        <w:t xml:space="preserve"> </w:t>
      </w:r>
      <w:r>
        <w:t xml:space="preserve">fit has fewer near-zero-contribution tokens to spread mass across.</w:t>
      </w:r>
      <w:r>
        <w:t xml:space="preserve"> </w:t>
      </w:r>
      <w:r>
        <w:t xml:space="preserve">V20 should be considered the most interpretable of the new recipes:</w:t>
      </w:r>
      <w:r>
        <w:t xml:space="preserve"> </w:t>
      </w:r>
      <w:r>
        <w:t xml:space="preserve">high label signal + grounded vocabulary + no codebook indirection.</w:t>
      </w:r>
    </w:p>
    <w:bookmarkEnd w:id="23"/>
    <w:bookmarkStart w:id="24" w:name="f-22-counterfactual-under-the-extension."/>
    <w:p>
      <w:pPr>
        <w:pStyle w:val="Heading4"/>
      </w:pPr>
      <w:r>
        <w:t xml:space="preserve">F-22 counterfactual under the extension.</w:t>
      </w:r>
    </w:p>
    <w:p>
      <w:pPr>
        <w:pStyle w:val="FirstParagraph"/>
      </w:pPr>
      <w:r>
        <w:t xml:space="preserve">We do not re-run F-22 for every new recipe in this draft; the V20</w:t>
      </w:r>
      <w:r>
        <w:t xml:space="preserve"> </w:t>
      </w:r>
      <w:r>
        <w:t xml:space="preserve">counterfactual L1 ranking under LDA is competitive with V12 (median</w:t>
      </w:r>
      <w:r>
        <w:t xml:space="preserve"> </w:t>
      </w:r>
      <w:r>
        <w:t xml:space="preserve">L1</w:t>
      </w:r>
      <w:r>
        <w:t xml:space="preserve"> </w:t>
      </w:r>
      <m:oMath>
        <m:r>
          <m:rPr>
            <m:sty m:val="p"/>
          </m:rPr>
          <m:t>≥</m:t>
        </m:r>
        <m:r>
          <m:t>15</m:t>
        </m:r>
      </m:oMath>
      <w:r>
        <w:t xml:space="preserve"> </w:t>
      </w:r>
      <w:r>
        <w:t xml:space="preserve">on the labelled scenes where V20 has been profiled),</w:t>
      </w:r>
      <w:r>
        <w:t xml:space="preserve"> </w:t>
      </w:r>
      <w:r>
        <w:t xml:space="preserve">suggesting that label-aware amplification produces topics that are</w:t>
      </w:r>
      <w:r>
        <w:t xml:space="preserve"> </w:t>
      </w:r>
      <w:r>
        <w:t xml:space="preserve">also harder to perturb. A full F-22 (</w:t>
      </w:r>
      <m:oMath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new recipes</w:t>
      </w:r>
      <w:r>
        <w:t xml:space="preserve"> </w:t>
      </w:r>
      <m:oMath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scenes) is left to a follow-up.</w:t>
      </w:r>
    </w:p>
    <w:bookmarkEnd w:id="24"/>
    <w:bookmarkEnd w:id="25"/>
    <w:bookmarkStart w:id="26" w:name="sec:rec"/>
    <w:p>
      <w:pPr>
        <w:pStyle w:val="Heading1"/>
      </w:pPr>
      <w:r>
        <w:t xml:space="preserve">Recommendation</w:t>
      </w:r>
    </w:p>
    <w:p>
      <w:pPr>
        <w:pStyle w:val="FirstParagraph"/>
      </w:pPr>
      <w:r>
        <w:t xml:space="preserve">For interpretability reporting, we recommend the following ordering: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F-13 SHAP attribution.</w:t>
      </w:r>
      <w:r>
        <w:t xml:space="preserve"> </w:t>
      </w:r>
      <w:r>
        <w:t xml:space="preserve">Recipe-grounded, defensible</w:t>
      </w:r>
      <w:r>
        <w:t xml:space="preserve"> </w:t>
      </w:r>
      <w:r>
        <w:t xml:space="preserve">against reviewer pressure, and produces explanations a domain</w:t>
      </w:r>
      <w:r>
        <w:t xml:space="preserve"> </w:t>
      </w:r>
      <w:r>
        <w:t xml:space="preserve">expert can immediately query.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F-22 counterfactual robustness.</w:t>
      </w:r>
      <w:r>
        <w:t xml:space="preserve"> </w:t>
      </w:r>
      <w:r>
        <w:t xml:space="preserve">Complements F-2/F-7</w:t>
      </w:r>
      <w:r>
        <w:t xml:space="preserve"> </w:t>
      </w:r>
      <w:r>
        <w:t xml:space="preserve">by ruling out trivial-overfit explanations.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F-15 LLM-judge.</w:t>
      </w:r>
      <w:r>
        <w:t xml:space="preserve"> </w:t>
      </w:r>
      <w:r>
        <w:t xml:space="preserve">Only after vocabulary-size</w:t>
      </w:r>
      <w:r>
        <w:t xml:space="preserve"> </w:t>
      </w:r>
      <w:r>
        <w:t xml:space="preserve">normalisation. Without normalisation it rewards trivial recipes.</w:t>
      </w:r>
    </w:p>
    <w:p>
      <w:pPr>
        <w:pStyle w:val="FirstParagraph"/>
      </w:pPr>
      <w:r>
        <w:t xml:space="preserve">The V13–V20 extension (§</w:t>
      </w:r>
      <w:hyperlink w:anchor="sec:v13-v20-interp">
        <w:r>
          <w:rPr>
            <w:rStyle w:val="Hyperlink"/>
          </w:rPr>
          <w:t xml:space="preserve">5</w:t>
        </w:r>
      </w:hyperlink>
      <w:r>
        <w:t xml:space="preserve">) further suggests</w:t>
      </w:r>
      <w:r>
        <w:t xml:space="preserve"> </w:t>
      </w:r>
      <w:r>
        <w:t xml:space="preserve">a recipe-as-interpretability-tier classification: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Tier I (physically-grounded)</w:t>
      </w:r>
      <w:r>
        <w:t xml:space="preserve">: V1, V7, V14, V18, V20.</w:t>
      </w:r>
      <w:r>
        <w:t xml:space="preserve"> </w:t>
      </w:r>
      <w:r>
        <w:t xml:space="preserve">Top SHAP tokens map to a wavelength, absorption feature, scale</w:t>
      </w:r>
      <w:r>
        <w:t xml:space="preserve"> </w:t>
      </w:r>
      <w:r>
        <w:t xml:space="preserve">band, manifold mode, or label-weighted band. Use for any</w:t>
      </w:r>
      <w:r>
        <w:t xml:space="preserve"> </w:t>
      </w:r>
      <w:r>
        <w:t xml:space="preserve">publishable interpretability claim.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Tier II (semantically-grounded)</w:t>
      </w:r>
      <w:r>
        <w:t xml:space="preserve">: V8, V10, V15.</w:t>
      </w:r>
      <w:r>
        <w:t xml:space="preserve"> </w:t>
      </w:r>
      <w:r>
        <w:t xml:space="preserve">Top tokens map to endmember labels, group labels, or vegetation</w:t>
      </w:r>
      <w:r>
        <w:t xml:space="preserve"> </w:t>
      </w:r>
      <w:r>
        <w:t xml:space="preserve">indices.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Tier III (learnt-codebook-grounded)</w:t>
      </w:r>
      <w:r>
        <w:t xml:space="preserve">: V11, V12, V13,</w:t>
      </w:r>
      <w:r>
        <w:t xml:space="preserve"> </w:t>
      </w:r>
      <w:r>
        <w:t xml:space="preserve">V17. Top tokens are codewords / GMM components / dictionary atoms.</w:t>
      </w:r>
      <w:r>
        <w:t xml:space="preserve"> </w:t>
      </w:r>
      <w:r>
        <w:t xml:space="preserve">Interpretable only via a separate codebook-decoder visualisation.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Tier IV (abstract-coordinate)</w:t>
      </w:r>
      <w:r>
        <w:t xml:space="preserve">: V19. Topics point to</w:t>
      </w:r>
      <w:r>
        <w:t xml:space="preserve"> </w:t>
      </w:r>
      <w:r>
        <w:t xml:space="preserve">UMAP coordinates with no spectral anchor. Use only as a sanity</w:t>
      </w:r>
      <w:r>
        <w:t xml:space="preserve"> </w:t>
      </w:r>
      <w:r>
        <w:t xml:space="preserve">baseline.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F. Santibáñez-Leal is with the CAOS open-research</w:t>
      </w:r>
      <w:r>
        <w:t xml:space="preserve"> </w:t>
      </w:r>
      <w:r>
        <w:t xml:space="preserve">programme, Santiago, Chile</w:t>
      </w:r>
      <w:r>
        <w:t xml:space="preserve"> </w:t>
      </w:r>
      <w:r>
        <w:t xml:space="preserve">(e-mail:</w:t>
      </w:r>
      <w:r>
        <w:t xml:space="preserve"> </w:t>
      </w:r>
      <w:r>
        <w:rPr>
          <w:rStyle w:val="VerbatimChar"/>
        </w:rPr>
        <w:t xml:space="preserve">fsantibanezleal@ug.uchile.cl</w:t>
      </w:r>
      <w:r>
        <w:t xml:space="preserve">;</w:t>
      </w:r>
      <w:r>
        <w:t xml:space="preserve"> </w:t>
      </w:r>
      <w:r>
        <w:t xml:space="preserve">ORCID: 0000-0002-0150-3246).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Preprint, 2026. Fourth manuscript in the CAOS_LDA_HSI</w:t>
      </w:r>
      <w:r>
        <w:t xml:space="preserve"> </w:t>
      </w:r>
      <w:r>
        <w:t xml:space="preserve">programme. Code and derived artefacts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https://github.com/fsantibanezleal{}/CAOS_LDA_HSI</w:t>
        </w:r>
      </w:hyperlink>
      <w:r>
        <w:t xml:space="preserve">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Partially funded by AMTC Basal (ANID/PIA AFB220002) and</w:t>
      </w:r>
      <w:r>
        <w:t xml:space="preserve"> </w:t>
      </w:r>
      <w:r>
        <w:t xml:space="preserve">ANID FONDECYT Postdoctorado 3220094.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fsantibanezleal{}/CAOS_LDA_HS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fsantibanezleal{}/CAOS_LDA_HS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Post-hoc Interpretability of LDA on Hyperspectral Imagery: SHAP Attributions, Counterfactual Topic Flips, and LLM-judge Alignment under Vocabulary-Size Asymmetry</dc:title>
  <dc:creator>Felipe Santibáñez-Leal,    </dc:creator>
  <cp:keywords/>
  <dcterms:created xsi:type="dcterms:W3CDTF">2026-05-31T19:33:10Z</dcterms:created>
  <dcterms:modified xsi:type="dcterms:W3CDTF">2026-05-31T19:33:10Z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</Properties>
</file>