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df" ContentType="application/pdf"/>
  <Override PartName="/word/media/rId54.pdf" ContentType="application/pdf"/>
  <Override PartName="/word/media/rId13.pdf" ContentType="application/pdf"/>
  <Override PartName="/word/media/rId62.pdf" ContentType="application/pdf"/>
  <Override PartName="/word/media/rId50.pdf" ContentType="application/pdf"/>
  <Override PartName="/word/media/rId46.pdf" ContentType="application/pdf"/>
  <Override PartName="/word/media/rId2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Which Wordification Matters? A Nineteen-Recipe Sweep of the</w:t>
      </w:r>
      <w:r>
        <w:t xml:space="preserve"> </w:t>
      </w:r>
      <w:r>
        <w:t xml:space="preserve">Interpretable-Topic-Model Framework on Hyperspectral Imagery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2"/>
      </w:r>
    </w:p>
    <w:bookmarkStart w:id="16" w:name="fig:headline"/>
    <w:p>
      <w:pPr>
        <w:pStyle w:val="CaptionedFigure"/>
      </w:pPr>
      <w:r>
        <w:drawing>
          <wp:inline>
            <wp:extent cx="5334000" cy="28429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p3-winners-headline.pdf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2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Headline. Per-axis winners on six labelled HSI scenes for</w:t>
      </w:r>
      <w:r>
        <w:t xml:space="preserve"> </w:t>
      </w:r>
      <w:r>
        <w:t xml:space="preserve">F-1 (5-fold macro-F1), F-2 (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coherence) and F-7 (topic–label</w:t>
      </w:r>
      <w:r>
        <w:t xml:space="preserve"> </w:t>
      </w:r>
      <w:r>
        <w:t xml:space="preserve">NMI). Bars: green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= winner per cell; purple = V20 (MI-weighted</w:t>
      </w:r>
      <w:r>
        <w:t xml:space="preserve"> </w:t>
      </w:r>
      <w:r>
        <w:t xml:space="preserve">bands, new to this revision). Indian Pines (left column): V20 wins</w:t>
      </w:r>
      <w:r>
        <w:t xml:space="preserve"> </w:t>
      </w:r>
      <w:r>
        <w:t xml:space="preserve">F-2 and F-7 outright; on F-1 macro-F1 the recipes tie (</w:t>
      </w:r>
      <m:oMath>
        <m:r>
          <m:rPr>
            <m:sty m:val="p"/>
          </m:rPr>
          <m:t>≈</m:t>
        </m:r>
        <m:r>
          <m:t>0.86</m:t>
        </m:r>
      </m:oMath>
      <w:r>
        <w:t xml:space="preserve">,</w:t>
      </w:r>
      <w:r>
        <w:t xml:space="preserve"> </w:t>
      </w:r>
      <w:r>
        <w:t xml:space="preserve">V2 nominally highest at 0.861 vs V20 0.858) so F-1 does not</w:t>
      </w:r>
      <w:r>
        <w:t xml:space="preserve"> </w:t>
      </w:r>
      <w:r>
        <w:t xml:space="preserve">discriminate. F-7 mean ranking across the six scenes is V12 0.534 /</w:t>
      </w:r>
      <w:r>
        <w:t xml:space="preserve"> </w:t>
      </w:r>
      <w:r>
        <w:t xml:space="preserve">V3 0.524 / V20 0.520, within 0.014 NMI of each other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flat top, not a sharp peak (the ranking inverts to a V20 lead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).</w:t>
      </w:r>
    </w:p>
    <w:bookmarkEnd w:id="16"/>
    <w:bookmarkStart w:id="2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companion paper (denoted P1 hereafter) proposes a twelve-axis</w:t>
      </w:r>
      <w:r>
        <w:t xml:space="preserve"> </w:t>
      </w:r>
      <w:r>
        <w:t xml:space="preserve">evaluation framework for LDA-style topic models on hyperspectral</w:t>
      </w:r>
      <w:r>
        <w:t xml:space="preserve"> </w:t>
      </w:r>
      <w:r>
        <w:t xml:space="preserve">imagery, instantiates it on a single</w:t>
      </w:r>
      <w:r>
        <w:t xml:space="preserve"> </w:t>
      </w:r>
      <w:r>
        <w:rPr>
          <w:i/>
          <w:iCs/>
        </w:rPr>
        <w:t xml:space="preserve">canonical</w:t>
      </w:r>
      <w:r>
        <w:t xml:space="preserve"> </w:t>
      </w:r>
      <w:r>
        <w:t xml:space="preserve">wordification</w:t>
      </w:r>
      <w:r>
        <w:t xml:space="preserve"> </w:t>
      </w:r>
      <w:r>
        <w:t xml:space="preserve">recipe (V1, band–frequency tokens), and shows that classification</w:t>
      </w:r>
      <w:r>
        <w:t xml:space="preserve"> </w:t>
      </w:r>
      <w:r>
        <w:t xml:space="preserve">accuracy alone is silent about reproducibility, band robustness, and</w:t>
      </w:r>
      <w:r>
        <w:t xml:space="preserve"> </w:t>
      </w:r>
      <w:r>
        <w:t xml:space="preserve">calibration. P1’s choice of V1 as canonical was a deliberate design</w:t>
      </w:r>
      <w:r>
        <w:t xml:space="preserve"> </w:t>
      </w:r>
      <w:r>
        <w:t xml:space="preserve">decision: every axis pulls a property of the same basis</w:t>
      </w:r>
      <w:r>
        <w:t xml:space="preserve"> </w:t>
      </w:r>
      <m:oMath>
        <m:r>
          <m:t>ϕ</m:t>
        </m:r>
      </m:oMath>
      <w:r>
        <w:t xml:space="preserve">, which</w:t>
      </w:r>
      <w:r>
        <w:t xml:space="preserve"> </w:t>
      </w:r>
      <w:r>
        <w:t xml:space="preserve">in turn requires that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be fixed across axes. The decision was</w:t>
      </w:r>
      <w:r>
        <w:t xml:space="preserve"> </w:t>
      </w:r>
      <w:r>
        <w:t xml:space="preserve">defensible but it leaves an obvious second question unanswered:</w:t>
      </w:r>
      <w:r>
        <w:t xml:space="preserve"> </w:t>
      </w:r>
      <w:r>
        <w:rPr>
          <w:i/>
          <w:iCs/>
        </w:rPr>
        <w:t xml:space="preserve">does the choice of wordification itself change the conclusions?</w:t>
      </w:r>
    </w:p>
    <w:p>
      <w:pPr>
        <w:pStyle w:val="BodyText"/>
      </w:pPr>
      <w:r>
        <w:t xml:space="preserve">This manuscript answers that question. We define a family of nineteen</w:t>
      </w:r>
      <w:r>
        <w:t xml:space="preserve"> </w:t>
      </w:r>
      <w:r>
        <w:t xml:space="preserve">wordification recipes V1–V15 and V17–V20 that span the axes of design</w:t>
      </w:r>
      <w:r>
        <w:t xml:space="preserve"> </w:t>
      </w:r>
      <w:r>
        <w:t xml:space="preserve">freedom identified by the existing P1 code base</w:t>
      </w:r>
      <w:r>
        <w:t xml:space="preserve"> </w:t>
      </w:r>
      <w:r>
        <w:t xml:space="preserve">(§</w:t>
      </w:r>
      <w:hyperlink w:anchor="sec:design-space">
        <w:r>
          <w:rPr>
            <w:rStyle w:val="Hyperlink"/>
          </w:rPr>
          <w:t xml:space="preserve">2</w:t>
        </w:r>
      </w:hyperlink>
      <w:r>
        <w:t xml:space="preserve">) and run each through the same evaluation</w:t>
      </w:r>
      <w:r>
        <w:t xml:space="preserve"> </w:t>
      </w:r>
      <w:r>
        <w:t xml:space="preserve">framework. V13–V20 (seven recipes new to this revision) add</w:t>
      </w:r>
      <w:r>
        <w:t xml:space="preserve"> </w:t>
      </w:r>
      <w:r>
        <w:t xml:space="preserve">learnt-codebook tokens (V13 vector-quantised VAE, V17 sparse-coding</w:t>
      </w:r>
      <w:r>
        <w:t xml:space="preserve"> </w:t>
      </w:r>
      <w:r>
        <w:t xml:space="preserve">dictionary), signal-transform tokens (V14 continuous wavelet, V15</w:t>
      </w:r>
      <w:r>
        <w:t xml:space="preserve"> </w:t>
      </w:r>
      <w:r>
        <w:t xml:space="preserve">spectral indices), structure-aware tokens (V18 graph-Laplacian</w:t>
      </w:r>
      <w:r>
        <w:t xml:space="preserve"> </w:t>
      </w:r>
      <w:r>
        <w:t xml:space="preserve">eigenvectors, V19 UMAP coordinates) and a label-aware reweighting</w:t>
      </w:r>
      <w:r>
        <w:t xml:space="preserve"> </w:t>
      </w:r>
      <w:r>
        <w:t xml:space="preserve">(V20 mutual-information-weighted bands). The contribution is not a</w:t>
      </w:r>
      <w:r>
        <w:t xml:space="preserve"> </w:t>
      </w:r>
      <w:r>
        <w:t xml:space="preserve">new method but a comparative result:</w:t>
      </w:r>
      <w:r>
        <w:t xml:space="preserve"> </w:t>
      </w:r>
      <w:r>
        <w:rPr>
          <w:i/>
          <w:iCs/>
        </w:rPr>
        <w:t xml:space="preserve">which recipe matters for</w:t>
      </w:r>
      <w:r>
        <w:rPr>
          <w:i/>
          <w:iCs/>
        </w:rPr>
        <w:t xml:space="preserve"> </w:t>
      </w:r>
      <w:r>
        <w:rPr>
          <w:i/>
          <w:iCs/>
        </w:rPr>
        <w:t xml:space="preserve">which axis on which scene</w:t>
      </w:r>
      <w:r>
        <w:t xml:space="preserve">, and what that joint structure implies for</w:t>
      </w:r>
      <w:r>
        <w:t xml:space="preserve"> </w:t>
      </w:r>
      <w:r>
        <w:t xml:space="preserve">the choice of canonical recipe in future work. The V16 slot is</w:t>
      </w:r>
      <w:r>
        <w:t xml:space="preserve"> </w:t>
      </w:r>
      <w:r>
        <w:t xml:space="preserve">reserved for a foundation-model wordification (HyperSIGMA /</w:t>
      </w:r>
      <w:r>
        <w:t xml:space="preserve"> </w:t>
      </w:r>
      <w:r>
        <w:t xml:space="preserve">HyperspectralMAE), which is deferred to a follow-up because the</w:t>
      </w:r>
      <w:r>
        <w:t xml:space="preserve"> </w:t>
      </w:r>
      <w:r>
        <w:t xml:space="preserve">inference cost dominates the per-scene budget for the labelled-scene</w:t>
      </w:r>
      <w:r>
        <w:t xml:space="preserve"> </w:t>
      </w:r>
      <w:r>
        <w:t xml:space="preserve">panel.</w:t>
      </w:r>
    </w:p>
    <w:bookmarkStart w:id="17" w:name="subsec:why-sweep"/>
    <w:p>
      <w:pPr>
        <w:pStyle w:val="Heading2"/>
      </w:pPr>
      <w:r>
        <w:t xml:space="preserve">Why a sweep, not a winner</w:t>
      </w:r>
    </w:p>
    <w:p>
      <w:pPr>
        <w:pStyle w:val="FirstParagraph"/>
      </w:pPr>
      <w:r>
        <w:t xml:space="preserve">A sweep is the right unit of analysis when no recipe is universally</w:t>
      </w:r>
      <w:r>
        <w:t xml:space="preserve"> </w:t>
      </w:r>
      <w:r>
        <w:t xml:space="preserve">better. The completed nineteen-recipe sweep on the six labelled scenes</w:t>
      </w:r>
      <w:r>
        <w:t xml:space="preserve"> </w:t>
      </w:r>
      <w:r>
        <w:t xml:space="preserve">shows that F-2 has four distinct winners (V1, V3, V12, V20), F-7 has</w:t>
      </w:r>
      <w:r>
        <w:t xml:space="preserve"> </w:t>
      </w:r>
      <w:r>
        <w:t xml:space="preserve">four distinct winners (V3, V8, V12, V20), and the three top recipes</w:t>
      </w:r>
      <w:r>
        <w:t xml:space="preserve"> </w:t>
      </w:r>
      <w:r>
        <w:t xml:space="preserve">across F-7 mean (V12, V3, V20) lie within</w:t>
      </w:r>
      <w:r>
        <w:t xml:space="preserve"> </w:t>
      </w:r>
      <m:oMath>
        <m:r>
          <m:t>0.014</m:t>
        </m:r>
      </m:oMath>
      <w:r>
        <w:t xml:space="preserve"> </w:t>
      </w:r>
      <w:r>
        <w:t xml:space="preserve">NMI of each other.</w:t>
      </w:r>
      <w:r>
        <w:t xml:space="preserve"> </w:t>
      </w:r>
      <w:r>
        <w:t xml:space="preserve">V1 (current canonical) wins F-2 on two scenes and never wins F-7.</w:t>
      </w:r>
      <w:r>
        <w:t xml:space="preserve"> </w:t>
      </w:r>
      <w:r>
        <w:t xml:space="preserve">V20 (new), the simplest label-aware reweighting of V1, wins both F-2</w:t>
      </w:r>
      <w:r>
        <w:t xml:space="preserve"> </w:t>
      </w:r>
      <w:r>
        <w:t xml:space="preserve">and F-7 on Indian Pines and matches the leader on three more F-7 cells.</w:t>
      </w:r>
      <w:r>
        <w:t xml:space="preserve"> </w:t>
      </w:r>
      <w:r>
        <w:t xml:space="preserve">Single-recipe claims invite a counter-example; the sweep avoids the</w:t>
      </w:r>
      <w:r>
        <w:t xml:space="preserve"> </w:t>
      </w:r>
      <w:r>
        <w:t xml:space="preserve">trap and shows that the wordification landscape has a flat top rather</w:t>
      </w:r>
      <w:r>
        <w:t xml:space="preserve"> </w:t>
      </w:r>
      <w:r>
        <w:t xml:space="preserve">than a sharp peak.</w:t>
      </w:r>
    </w:p>
    <w:bookmarkEnd w:id="17"/>
    <w:bookmarkStart w:id="18" w:name="subsec:contributions"/>
    <w:p>
      <w:pPr>
        <w:pStyle w:val="Heading2"/>
      </w:pPr>
      <w:r>
        <w:t xml:space="preserve">Contributions</w:t>
      </w:r>
    </w:p>
    <w:p>
      <w:pPr>
        <w:numPr>
          <w:ilvl w:val="0"/>
          <w:numId w:val="1001"/>
        </w:numPr>
      </w:pPr>
      <w:r>
        <w:t xml:space="preserve">A formal definition of the V1–V15, V17–V20 wordification</w:t>
      </w:r>
      <w:r>
        <w:t xml:space="preserve"> </w:t>
      </w:r>
      <w:r>
        <w:t xml:space="preserve">design space, spanning seven axes of freedom: token alphabet,</w:t>
      </w:r>
      <w:r>
        <w:t xml:space="preserve"> </w:t>
      </w:r>
      <w:r>
        <w:t xml:space="preserve">spatial vs. purely spectral aggregation, local vs. global</w:t>
      </w:r>
      <w:r>
        <w:t xml:space="preserve"> </w:t>
      </w:r>
      <w:r>
        <w:t xml:space="preserve">vocabulary, document length regime, signal transform, learnt vs. fixed vocabulary, and label-aware vs. label-blind weighting</w:t>
      </w:r>
      <w:r>
        <w:t xml:space="preserve"> </w:t>
      </w:r>
      <w:r>
        <w:t xml:space="preserve">(§</w:t>
      </w:r>
      <w:hyperlink w:anchor="sec:design-space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per-recipe K-policy that keeps the comparison fair for</w:t>
      </w:r>
      <w:r>
        <w:t xml:space="preserve"> </w:t>
      </w:r>
      <w:r>
        <w:t xml:space="preserve">extreme document-length regimes (V7 with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tokens per</w:t>
      </w:r>
      <w:r>
        <w:t xml:space="preserve"> </w:t>
      </w:r>
      <w:r>
        <w:t xml:space="preserve">document, V9 with 1 token per document, V19 with 3 UMAP-axis</w:t>
      </w:r>
      <w:r>
        <w:t xml:space="preserve"> </w:t>
      </w:r>
      <w:r>
        <w:t xml:space="preserve">tokens) where the canonical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from P1 over-prescribes</w:t>
      </w:r>
      <w:r>
        <w:t xml:space="preserve"> </w:t>
      </w:r>
      <w:r>
        <w:t xml:space="preserve">K (§</w:t>
      </w:r>
      <w:hyperlink w:anchor="subsec:k-policy">
        <w:r>
          <w:rPr>
            <w:rStyle w:val="Hyperlink"/>
          </w:rPr>
          <w:t xml:space="preserve">3.1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The full</w:t>
      </w:r>
      <w:r>
        <w:t xml:space="preserve"> </w:t>
      </w:r>
      <m:oMath>
        <m:r>
          <m:t>19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11</m:t>
        </m:r>
      </m:oMath>
      <w:r>
        <w:t xml:space="preserve"> </w:t>
      </w:r>
      <w:r>
        <w:t xml:space="preserve">sweep result matrix on the</w:t>
      </w:r>
      <w:r>
        <w:t xml:space="preserve"> </w:t>
      </w:r>
      <w:r>
        <w:t xml:space="preserve">P1 dataset panel, with a per-recipe Bayesian posterior on F-1</w:t>
      </w:r>
      <w:r>
        <w:t xml:space="preserve"> </w:t>
      </w:r>
      <w:r>
        <w:t xml:space="preserve">macro-F1 pooled across scenes and folds</w:t>
      </w:r>
      <w:r>
        <w:t xml:space="preserve"> </w:t>
      </w:r>
      <w:r>
        <w:t xml:space="preserve">(§</w:t>
      </w:r>
      <w:hyperlink w:anchor="sec:results">
        <w:r>
          <w:rPr>
            <w:rStyle w:val="Hyperlink"/>
          </w:rPr>
          <w:t xml:space="preserve">4</w:t>
        </w:r>
      </w:hyperlink>
      <w:r>
        <w:t xml:space="preserve">–</w:t>
      </w:r>
      <w:hyperlink w:anchor="sec:matrix">
        <w:r>
          <w:rPr>
            <w:rStyle w:val="Hyperlink"/>
          </w:rPr>
          <w:t xml:space="preserve">9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Five identified</w:t>
      </w:r>
      <w:r>
        <w:t xml:space="preserve"> </w:t>
      </w:r>
      <w:r>
        <w:rPr>
          <w:i/>
          <w:iCs/>
        </w:rPr>
        <w:t xml:space="preserve">axis–recipe affinities</w:t>
      </w:r>
      <w:r>
        <w:t xml:space="preserve"> </w:t>
      </w:r>
      <w:r>
        <w:t xml:space="preserve">where the</w:t>
      </w:r>
      <w:r>
        <w:t xml:space="preserve"> </w:t>
      </w:r>
      <w:r>
        <w:t xml:space="preserve">sweep finding is robust to scene choice: V3 vs. F-7,</w:t>
      </w:r>
      <w:r>
        <w:t xml:space="preserve"> </w:t>
      </w:r>
      <w:r>
        <w:t xml:space="preserve">V12 vs. F-2 on dense regimes, V20 vs. F-7 NMI on</w:t>
      </w:r>
      <w:r>
        <w:t xml:space="preserve"> </w:t>
      </w:r>
      <w:r>
        <w:t xml:space="preserve">label-information-bearing scenes, V18 vs. F-7 on manifold-shaped</w:t>
      </w:r>
      <w:r>
        <w:t xml:space="preserve"> </w:t>
      </w:r>
      <w:r>
        <w:t xml:space="preserve">scenes (PaviaU, Salinas), and V7 vs. F-9 on HIDSAG</w:t>
      </w:r>
      <w:r>
        <w:t xml:space="preserve"> </w:t>
      </w:r>
      <w:r>
        <w:t xml:space="preserve">(§</w:t>
      </w:r>
      <w:hyperlink w:anchor="sec:affinities">
        <w:r>
          <w:rPr>
            <w:rStyle w:val="Hyperlink"/>
          </w:rPr>
          <w:t xml:space="preserve">11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A revised recommendation for the role of V1 going forward:</w:t>
      </w:r>
      <w:r>
        <w:t xml:space="preserve"> </w:t>
      </w:r>
      <w:r>
        <w:rPr>
          <w:i/>
          <w:iCs/>
        </w:rPr>
        <w:t xml:space="preserve">a reproducibility default, not a universal best</w:t>
      </w:r>
      <w:r>
        <w:t xml:space="preserve"> </w:t>
      </w:r>
      <w:r>
        <w:t xml:space="preserve">(§</w:t>
      </w:r>
      <w:hyperlink w:anchor="sec:recommendation">
        <w:r>
          <w:rPr>
            <w:rStyle w:val="Hyperlink"/>
          </w:rPr>
          <w:t xml:space="preserve">12</w:t>
        </w:r>
      </w:hyperlink>
      <w:r>
        <w:t xml:space="preserve">).</w:t>
      </w:r>
    </w:p>
    <w:bookmarkEnd w:id="18"/>
    <w:bookmarkStart w:id="19" w:name="paper-organisation"/>
    <w:p>
      <w:pPr>
        <w:pStyle w:val="Heading2"/>
      </w:pPr>
      <w:r>
        <w:t xml:space="preserve">Paper organisation</w:t>
      </w:r>
    </w:p>
    <w:p>
      <w:pPr>
        <w:pStyle w:val="FirstParagraph"/>
      </w:pPr>
      <w:r>
        <w:t xml:space="preserve">§</w:t>
      </w:r>
      <w:hyperlink w:anchor="sec:design-spac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formalises the nineteen recipes.</w:t>
      </w:r>
      <w:r>
        <w:t xml:space="preserve"> </w:t>
      </w:r>
      <w:r>
        <w:t xml:space="preserve">§</w:t>
      </w:r>
      <w:hyperlink w:anchor="sec:metho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states the per-recipe K-policy and the rest of the</w:t>
      </w:r>
      <w:r>
        <w:t xml:space="preserve"> </w:t>
      </w:r>
      <w:r>
        <w:t xml:space="preserve">experimental setup (carried over verbatim from P1 except where noted).</w:t>
      </w:r>
      <w:r>
        <w:t xml:space="preserve"> </w:t>
      </w:r>
      <w:r>
        <w:t xml:space="preserve">§</w:t>
      </w:r>
      <w:hyperlink w:anchor="sec:resul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reports F-1 (Bayesian classification),</w:t>
      </w:r>
      <w:r>
        <w:t xml:space="preserve"> </w:t>
      </w:r>
      <w:r>
        <w:t xml:space="preserve">§</w:t>
      </w:r>
      <w:hyperlink w:anchor="sec:f2-result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F-2 (coherence), §</w:t>
      </w:r>
      <w:hyperlink w:anchor="sec:f7-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F-7</w:t>
      </w:r>
      <w:r>
        <w:t xml:space="preserve"> </w:t>
      </w:r>
      <w:r>
        <w:t xml:space="preserve">(topic–label coupling). §</w:t>
      </w:r>
      <w:hyperlink w:anchor="sec:f-extension-resul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narrows</w:t>
      </w:r>
      <w:r>
        <w:t xml:space="preserve"> </w:t>
      </w:r>
      <w:r>
        <w:t xml:space="preserve">F-2 and F-7 to the V13–V20 extension and discusses each new recipe</w:t>
      </w:r>
      <w:r>
        <w:t xml:space="preserve"> </w:t>
      </w:r>
      <w:r>
        <w:t xml:space="preserve">mechanistically. §</w:t>
      </w:r>
      <w:hyperlink w:anchor="sec:matrix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stitches the per-axis</w:t>
      </w:r>
      <w:r>
        <w:t xml:space="preserve"> </w:t>
      </w:r>
      <w:r>
        <w:t xml:space="preserve">results into the joint matrix. §</w:t>
      </w:r>
      <w:hyperlink w:anchor="sec:affinities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discusses the</w:t>
      </w:r>
      <w:r>
        <w:t xml:space="preserve"> </w:t>
      </w:r>
      <w:r>
        <w:t xml:space="preserve">five observed axis–recipe affinities; §</w:t>
      </w:r>
      <w:hyperlink w:anchor="sec:recommendation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makes the canonical-default recommendation; §</w:t>
      </w:r>
      <w:hyperlink w:anchor="sec:limitations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notes limitations (the nanopq seeding issue on V11; the</w:t>
      </w:r>
      <w:r>
        <w:t xml:space="preserve"> </w:t>
      </w:r>
      <w:r>
        <w:t xml:space="preserve">sliding-window estimator gap for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sub>
        </m:sSub>
      </m:oMath>
      <w:r>
        <w:t xml:space="preserve"> </w:t>
      </w:r>
      <w:r>
        <w:t xml:space="preserve">on dense recipes; the</w:t>
      </w:r>
      <w:r>
        <w:t xml:space="preserve"> </w:t>
      </w:r>
      <w:r>
        <w:t xml:space="preserve">deferred F-3 / F-4 / F-5 / F-8 / F-9 / F-10 / F-11 / F-12 sweeps; the</w:t>
      </w:r>
      <w:r>
        <w:t xml:space="preserve"> </w:t>
      </w:r>
      <w:r>
        <w:t xml:space="preserve">V16 foundation-model wordification deferred to a follow-up).</w:t>
      </w:r>
      <w:r>
        <w:t xml:space="preserve"> </w:t>
      </w:r>
      <w:r>
        <w:t xml:space="preserve">Appendix </w:t>
      </w:r>
      <w:hyperlink w:anchor="app:full-matrix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reproduces the full 19-recipe matrices.</w:t>
      </w:r>
    </w:p>
    <w:bookmarkEnd w:id="19"/>
    <w:bookmarkEnd w:id="20"/>
    <w:bookmarkStart w:id="26" w:name="sec:design-space"/>
    <w:p>
      <w:pPr>
        <w:pStyle w:val="Heading1"/>
      </w:pPr>
      <w:r>
        <w:t xml:space="preserve">The nineteen-recipe wordification design space</w:t>
      </w:r>
    </w:p>
    <w:bookmarkStart w:id="24" w:name="fig:taxonomy"/>
    <w:p>
      <w:pPr>
        <w:pStyle w:val="CaptionedFigure"/>
      </w:pPr>
      <w:r>
        <w:drawing>
          <wp:inline>
            <wp:extent cx="5067300" cy="29163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wordification-taxonomy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1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wordification taxonomy. Twenty recipes are grouped into</w:t>
      </w:r>
      <w:r>
        <w:t xml:space="preserve"> </w:t>
      </w:r>
      <w:r>
        <w:t xml:space="preserve">seven families by token-alphabet semantics. V20 (purple,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) is the</w:t>
      </w:r>
      <w:r>
        <w:t xml:space="preserve"> </w:t>
      </w:r>
      <w:r>
        <w:t xml:space="preserve">only label-aware recipe in the sweep; it wins F-2 and F-7 together on</w:t>
      </w:r>
      <w:r>
        <w:t xml:space="preserve"> </w:t>
      </w:r>
      <w:r>
        <w:t xml:space="preserve">Indian Pines (F-1 macro-F1 is a non-discriminating tie). V16</w:t>
      </w:r>
      <w:r>
        <w:t xml:space="preserve"> </w:t>
      </w:r>
      <w:r>
        <w:t xml:space="preserve">(HyperSIGMA foundation-model embedding) is scaffolded only; its</w:t>
      </w:r>
      <w:r>
        <w:t xml:space="preserve"> </w:t>
      </w:r>
      <w:r>
        <w:t xml:space="preserve">weights are not yet vendored.</w:t>
      </w:r>
    </w:p>
    <w:bookmarkEnd w:id="24"/>
    <w:p>
      <w:pPr>
        <w:pStyle w:val="BodyText"/>
      </w:pPr>
      <w:r>
        <w:t xml:space="preserve">We define each recipe as a map</w:t>
      </w:r>
      <w: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y</m:t>
            </m:r>
          </m:e>
          <m:sub>
            <m:r>
              <m:t>V</m:t>
            </m:r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B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V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from a normalised pixel spectrum to a</w:t>
      </w:r>
      <w:r>
        <w:t xml:space="preserve"> </w:t>
      </w:r>
      <w:r>
        <w:t xml:space="preserve">non-negative count vector over a recipe-specific vocabulary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V</m:t>
            </m:r>
          </m:e>
          <m:sub>
            <m:r>
              <m:t>V</m:t>
            </m:r>
          </m:sub>
        </m:sSub>
      </m:oMath>
      <w:r>
        <w:t xml:space="preserve">. Figure </w:t>
      </w:r>
      <w:hyperlink w:anchor="fig:taxonomy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groups the nineteen built</w:t>
      </w:r>
      <w:r>
        <w:t xml:space="preserve"> </w:t>
      </w:r>
      <w:r>
        <w:t xml:space="preserve">recipes (V1–V15, V17–V20) into seven semantic families;</w:t>
      </w:r>
      <w:r>
        <w:t xml:space="preserve"> </w:t>
      </w:r>
      <w:r>
        <w:t xml:space="preserve">Table </w:t>
      </w:r>
      <w:hyperlink w:anchor="tab:recipes">
        <w:r>
          <w:rPr>
            <w:rStyle w:val="Hyperlink"/>
          </w:rPr>
          <w:t xml:space="preserve">[tab:recipes]</w:t>
        </w:r>
      </w:hyperlink>
      <w:r>
        <w:t xml:space="preserve"> </w:t>
      </w:r>
      <w:r>
        <w:t xml:space="preserve">states each recipe formally and</w:t>
      </w:r>
      <w:r>
        <w:t xml:space="preserve"> </w:t>
      </w:r>
      <w:r>
        <w:t xml:space="preserve">§</w:t>
      </w:r>
      <w:hyperlink w:anchor="subsec:design-axes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groups them by seven axes of design freedom.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alphabet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</m:e>
              </m:ba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(band, q-bin)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∀</m:t>
              </m:r>
              <m:r>
                <m:t>b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q-bin (band-agnostic)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band: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(band, bin)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∀</m:t>
              </m:r>
              <m:r>
                <m:t>b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joint vocab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⋅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derivative-bin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2nd-derivative bin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b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wavelet 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Db4 level-4 DWT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}</m:t>
              </m:r>
            </m:oMath>
            <w:r>
              <w:t xml:space="preserve">, each binned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absorption triplet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continuum-removed; per feature (centre, depth-bin, area-bin)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≤</m:t>
              </m:r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endmember-fraction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NFINDR endmembers; NNLS abundance bins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+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Felzenszwalb region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R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VNIR / SWIR-1 / SWIR-2;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product-quantisation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);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sub-vector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GMM-component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GMM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components;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= argmax responsibility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VQ-VAE codebook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VQ-VAE,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sub-vectors,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codewords, ST-estimator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CWT-Morlet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log-scales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8 position buckets; top-16 magnitude cells per pixel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16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spectral indices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NDVI, MNDWI, NBR, NDSI, EVI, SAVI; per-index q-bin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idx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idx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sparse-coding atom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MiniBatch dictionary learning, lasso-LARS,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n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; (atom, abundance-bin)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atoms</m:t>
                  </m:r>
                </m:sub>
              </m:sSub>
              <m:r>
                <m:t>Q</m:t>
              </m:r>
              <m:r>
                <m:rPr>
                  <m:sty m:val="p"/>
                </m:rPr>
                <m:t>=</m:t>
              </m:r>
              <m:r>
                <m:t>512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graph-Laplacian eigvec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kNN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cosine affinity, sym-normalised Laplacian; first</w:t>
            </w:r>
            <w:r>
              <w:t xml:space="preserve"> </w:t>
            </w:r>
            <m:oMath>
              <m:r>
                <m:t>16</m:t>
              </m:r>
            </m:oMath>
            <w:r>
              <w:t xml:space="preserve"> </w:t>
            </w:r>
            <w:r>
              <w:t xml:space="preserve">eigenvectors percentile-binned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16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128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UMAP coordinate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UMAP (n_neighbors=15, min_dist=0.1); per-axis q-bin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MI-weighted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with per-band copies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⋅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∝</m:t>
              </m:r>
              <m:bar>
                <m:barPr>
                  <m:pos m:val="top"/>
                </m:bar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  <m:r>
                <m:t>B</m:t>
              </m:r>
            </m:oMath>
          </w:p>
        </w:tc>
      </w:tr>
    </w:tbl>
    <w:bookmarkStart w:id="25" w:name="subsec:design-axes"/>
    <w:p>
      <w:pPr>
        <w:pStyle w:val="Heading2"/>
      </w:pPr>
      <w:r>
        <w:t xml:space="preserve">Seven axes of design freedom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Token alphabet</w:t>
      </w:r>
      <w:r>
        <w:t xml:space="preserve"> </w:t>
      </w:r>
      <w:r>
        <w:t xml:space="preserve">— intensity (V1, V2, V10, V12, V20),</w:t>
      </w:r>
      <w:r>
        <w:t xml:space="preserve"> </w:t>
      </w:r>
      <w:r>
        <w:t xml:space="preserve">local derivative (V4, V5), multi-scale (V6, V14), absorption (V7),</w:t>
      </w:r>
      <w:r>
        <w:t xml:space="preserve"> </w:t>
      </w:r>
      <w:r>
        <w:t xml:space="preserve">mixing fractions (V8, V15), spatial-aware (V9), encoded subspaces</w:t>
      </w:r>
      <w:r>
        <w:t xml:space="preserve"> </w:t>
      </w:r>
      <w:r>
        <w:t xml:space="preserve">(V11, V13, V17, V19), graph-spectral (V18).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Spatial vs. spectral</w:t>
      </w:r>
      <w:r>
        <w:t xml:space="preserve"> </w:t>
      </w:r>
      <w:r>
        <w:t xml:space="preserve">— pure spectral: V1–V8, V10–V15,</w:t>
      </w:r>
      <w:r>
        <w:t xml:space="preserve"> </w:t>
      </w:r>
      <w:r>
        <w:t xml:space="preserve">V17–V20; spatial-aware via adjacency: V9; spatial-aware via</w:t>
      </w:r>
      <w:r>
        <w:t xml:space="preserve"> </w:t>
      </w:r>
      <w:r>
        <w:t xml:space="preserve">embedding manifold: V18 (kNN graph) and V19 (UMAP).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Local vs. global vocabulary</w:t>
      </w:r>
      <w:r>
        <w:t xml:space="preserve"> </w:t>
      </w:r>
      <w:r>
        <w:t xml:space="preserve">— local per-band: V1,</w:t>
      </w:r>
      <w:r>
        <w:t xml:space="preserve"> </w:t>
      </w:r>
      <w:r>
        <w:t xml:space="preserve">V3, V4, V5, V12, V20; global band-agnostic: V2, V11, V13, V17,</w:t>
      </w:r>
      <w:r>
        <w:t xml:space="preserve"> </w:t>
      </w:r>
      <w:r>
        <w:t xml:space="preserve">V18, V19; coarse group-level: V10, V8, V14, V15; sparse</w:t>
      </w:r>
      <w:r>
        <w:t xml:space="preserve"> </w:t>
      </w:r>
      <w:r>
        <w:t xml:space="preserve">event-level: V7, V9.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Document length</w:t>
      </w:r>
      <w:r>
        <w:t xml:space="preserve"> </w:t>
      </w:r>
      <w:r>
        <w:t xml:space="preserve">— dense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tokens/doc: V1, V2,</w:t>
      </w:r>
      <w:r>
        <w:t xml:space="preserve"> </w:t>
      </w:r>
      <w:r>
        <w:t xml:space="preserve">V4, V5, V6, V12, V20 (label-weighted dense); medium 8–16</w:t>
      </w:r>
      <w:r>
        <w:t xml:space="preserve"> </w:t>
      </w:r>
      <w:r>
        <w:t xml:space="preserve">tokens/doc: V14, V17, V18; coarse 3–10 tokens/doc: V8, V10, V11,</w:t>
      </w:r>
      <w:r>
        <w:t xml:space="preserve"> </w:t>
      </w:r>
      <w:r>
        <w:t xml:space="preserve">V13, V15, V19; sparse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tokens/doc: V7, V9.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Signal transform</w:t>
      </w:r>
      <w:r>
        <w:t xml:space="preserve"> </w:t>
      </w:r>
      <w:r>
        <w:t xml:space="preserve">— none (V1–V3, V8, V10, V20),</w:t>
      </w:r>
      <w:r>
        <w:t xml:space="preserve"> </w:t>
      </w:r>
      <w:r>
        <w:t xml:space="preserve">differencing (V4, V5), wavelet (V6, V14), continuum-removed</w:t>
      </w:r>
      <w:r>
        <w:t xml:space="preserve"> </w:t>
      </w:r>
      <w:r>
        <w:t xml:space="preserve">absorption (V7), spectral-index (V15), graph-Laplacian (V18),</w:t>
      </w:r>
      <w:r>
        <w:t xml:space="preserve"> </w:t>
      </w:r>
      <w:r>
        <w:t xml:space="preserve">manifold embedding (V19).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Learnt vs. fixed vocabulary</w:t>
      </w:r>
      <w:r>
        <w:t xml:space="preserve"> </w:t>
      </w:r>
      <w:r>
        <w:t xml:space="preserve">— fixed (V1–V7,</w:t>
      </w:r>
      <w:r>
        <w:t xml:space="preserve"> </w:t>
      </w:r>
      <w:r>
        <w:t xml:space="preserve">V10, V14, V15); learnt unsupervised (V8 NFINDR, V11 PQ codebook,</w:t>
      </w:r>
      <w:r>
        <w:t xml:space="preserve"> </w:t>
      </w:r>
      <w:r>
        <w:t xml:space="preserve">V12 GMM, V13 VQ-VAE, V17 dictionary, V18 spectral, V19 UMAP);</w:t>
      </w:r>
      <w:r>
        <w:t xml:space="preserve"> </w:t>
      </w:r>
      <w:r>
        <w:t xml:space="preserve">learnt with labels (V20).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Label awareness</w:t>
      </w:r>
      <w:r>
        <w:t xml:space="preserve"> </w:t>
      </w:r>
      <w:r>
        <w:t xml:space="preserve">— label-blind: V1–V19; label-aware</w:t>
      </w:r>
      <w:r>
        <w:t xml:space="preserve"> </w:t>
      </w:r>
      <w:r>
        <w:t xml:space="preserve">via per-band MI re-weighting: V20.</w:t>
      </w:r>
    </w:p>
    <w:bookmarkEnd w:id="25"/>
    <w:bookmarkEnd w:id="26"/>
    <w:bookmarkStart w:id="29" w:name="sec:method"/>
    <w:p>
      <w:pPr>
        <w:pStyle w:val="Heading1"/>
      </w:pPr>
      <w:r>
        <w:t xml:space="preserve">Method</w:t>
      </w:r>
    </w:p>
    <w:bookmarkStart w:id="27" w:name="subsec:k-policy"/>
    <w:p>
      <w:pPr>
        <w:pStyle w:val="Heading2"/>
      </w:pPr>
      <w:r>
        <w:t xml:space="preserve">Per-V K-policy</w:t>
      </w:r>
    </w:p>
    <w:p>
      <w:pPr>
        <w:pStyle w:val="FirstParagraph"/>
      </w:pPr>
      <w:r>
        <w:t xml:space="preserve">The canonical fit defined in P1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holds K constant across recipes, which is the right policy for</w:t>
      </w:r>
      <w:r>
        <w:t xml:space="preserve"> </w:t>
      </w:r>
      <w:r>
        <w:t xml:space="preserve">recipes whose mean document length matches V1’s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tokens regime, but</w:t>
      </w:r>
      <w:r>
        <w:t xml:space="preserve"> </w:t>
      </w:r>
      <w:r>
        <w:t xml:space="preserve">over-prescribes K when the document length collapses (V7 at</w:t>
      </w:r>
      <w:r>
        <w:t xml:space="preserve"> </w:t>
      </w:r>
      <m:oMath>
        <m:r>
          <m:rPr>
            <m:sty m:val="p"/>
          </m:rPr>
          <m:t>≤</m:t>
        </m:r>
        <m:r>
          <m:t>6</m:t>
        </m:r>
      </m:oMath>
      <w:r>
        <w:t xml:space="preserve">, V9 at 1, V10 at 3, V11 at 4). We therefore use a</w:t>
      </w:r>
      <w:r>
        <w:t xml:space="preserve"> </w:t>
      </w:r>
      <w:r>
        <w:t xml:space="preserve">recipe-specific policy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⌊"/>
                  <m:sepChr m:val=""/>
                  <m:endChr m:val="⌋"/>
                  <m:grow/>
                </m:dPr>
                <m:e>
                  <m:f>
                    <m:fPr>
                      <m:type m:val="lin"/>
                    </m:fPr>
                    <m:num>
                      <m:sSub>
                        <m:e>
                          <m:bar>
                            <m:barPr>
                              <m:pos m:val="top"/>
                            </m:barPr>
                            <m:e>
                              <m:r>
                                <m:rPr>
                                  <m:sty m:val="p"/>
                                </m:rPr>
                                <m:t>d</m:t>
                              </m:r>
                              <m:r>
                                <m:rPr>
                                  <m:sty m:val="p"/>
                                </m:rPr>
                                <m:t>o</m:t>
                              </m:r>
                              <m:r>
                                <m:rPr>
                                  <m:sty m:val="p"/>
                                </m:rP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m:t> </m:t>
                              </m:r>
                              <m:r>
                                <m:rPr>
                                  <m:sty m:val="p"/>
                                </m:rP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</m:e>
                          </m:bar>
                        </m:e>
                        <m:sub>
                          <m:r>
                            <m:t>V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P1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P1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This</w:t>
      </w:r>
      <w:r>
        <w:t xml:space="preserve"> </w:t>
      </w:r>
      <w:r>
        <w:t xml:space="preserve">keeps V1, V2, V3, V4, V5, V6, V12 at the P1 K but reduces V7 to 3,</w:t>
      </w:r>
      <w:r>
        <w:t xml:space="preserve"> </w:t>
      </w:r>
      <w:r>
        <w:t xml:space="preserve">V9 to 4, V10 to 3, V11 to 3 (Indian Pines), and similarly for the</w:t>
      </w:r>
      <w:r>
        <w:t xml:space="preserve"> </w:t>
      </w:r>
      <w:r>
        <w:t xml:space="preserve">other scenes.</w:t>
      </w:r>
    </w:p>
    <w:bookmarkEnd w:id="27"/>
    <w:bookmarkStart w:id="28" w:name="other-experimental-settings"/>
    <w:p>
      <w:pPr>
        <w:pStyle w:val="Heading2"/>
      </w:pPr>
      <w:r>
        <w:t xml:space="preserve">Other experimental settings</w:t>
      </w:r>
    </w:p>
    <w:p>
      <w:pPr>
        <w:pStyle w:val="FirstParagraph"/>
      </w:pPr>
      <w:r>
        <w:t xml:space="preserve">All other settings are inherited verbatim from P1</w:t>
      </w:r>
      <w:r>
        <w:t xml:space="preserve"> </w:t>
      </w:r>
      <w:r>
        <w:t xml:space="preserve">(the</w:t>
      </w:r>
      <w:r>
        <w:t xml:space="preserve"> </w:t>
      </w:r>
      <w:r>
        <w:t xml:space="preserve">“Canonical fit”</w:t>
      </w:r>
      <w:r>
        <w:t xml:space="preserve"> </w:t>
      </w:r>
      <w:r>
        <w:t xml:space="preserve">subsection of that manuscript): same stratified-pixel</w:t>
      </w:r>
      <w:r>
        <w:t xml:space="preserve"> </w:t>
      </w:r>
      <w:r>
        <w:t xml:space="preserve">sample, same online-VB hyperparameters, same five-fold StratifiedKFold,</w:t>
      </w:r>
      <w:r>
        <w:t xml:space="preserve"> </w:t>
      </w:r>
      <w:r>
        <w:t xml:space="preserve">same per-fold LDA refit-no-leakage protocol, same Bayesian</w:t>
      </w:r>
      <w:r>
        <w:t xml:space="preserve"> </w:t>
      </w:r>
      <w:r>
        <w:t xml:space="preserve">hierarchical model on the per-fold macro-F1.</w:t>
      </w:r>
    </w:p>
    <w:bookmarkEnd w:id="28"/>
    <w:bookmarkEnd w:id="29"/>
    <w:bookmarkStart w:id="31" w:name="sec:results"/>
    <w:p>
      <w:pPr>
        <w:pStyle w:val="Heading1"/>
      </w:pPr>
      <w:r>
        <w:t xml:space="preserve">F-1: classification under V-sweep</w:t>
      </w:r>
    </w:p>
    <w:p>
      <w:pPr>
        <w:pStyle w:val="FirstParagraph"/>
      </w:pPr>
      <w:r>
        <w:t xml:space="preserve">We follow the F-1 protocol of P1: per-V K-policy, 5-fold</w:t>
      </w:r>
      <w:r>
        <w:t xml:space="preserve"> </w:t>
      </w:r>
      <w:r>
        <w:t xml:space="preserve">StratifiedKFold (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= 42), per-fold LDA refit with no</w:t>
      </w:r>
      <w:r>
        <w:t xml:space="preserve"> </w:t>
      </w:r>
      <w:r>
        <w:t xml:space="preserve">test-set leakage at the LDA fit step, two methods reported per cell</w:t>
      </w:r>
      <w:r>
        <w:t xml:space="preserve"> </w:t>
      </w:r>
      <w:r>
        <w:t xml:space="preserve">(</w:t>
      </w:r>
      <w:r>
        <w:rPr>
          <w:i/>
          <w:iCs/>
        </w:rPr>
        <w:t xml:space="preserve">raw_logistic</w:t>
      </w:r>
      <w:r>
        <w:t xml:space="preserve"> </w:t>
      </w:r>
      <w:r>
        <w:t xml:space="preserve">baseline and</w:t>
      </w:r>
      <w:r>
        <w:t xml:space="preserve"> </w:t>
      </w:r>
      <w:r>
        <w:rPr>
          <w:i/>
          <w:iCs/>
        </w:rPr>
        <w:t xml:space="preserve">topic_routed_soft</w:t>
      </w:r>
      <w:r>
        <w:t xml:space="preserve">, the</w:t>
      </w:r>
      <w:r>
        <w:t xml:space="preserve"> </w:t>
      </w:r>
      <w:r>
        <w:t xml:space="preserve">soft-gated per-topic specialist ensemble from P1). Macro-F1 is reported</w:t>
      </w:r>
      <w:r>
        <w:t xml:space="preserve"> </w:t>
      </w:r>
      <w:r>
        <w:t xml:space="preserve">per fold and averaged.</w:t>
      </w:r>
    </w:p>
    <w:bookmarkStart w:id="30" w:name="v20-leakage-caveat."/>
    <w:p>
      <w:pPr>
        <w:pStyle w:val="Heading4"/>
      </w:pPr>
      <w:r>
        <w:t xml:space="preserve">V20 leakage caveat.</w:t>
      </w:r>
    </w:p>
    <w:p>
      <w:pPr>
        <w:pStyle w:val="FirstParagraph"/>
      </w:pPr>
      <w:r>
        <w:t xml:space="preserve">V20 wordification computes per-band</w:t>
      </w:r>
      <w:r>
        <w:t xml:space="preserve"> </w:t>
      </w:r>
      <w:r>
        <w:t xml:space="preserve">mutual information weights using the full labelled stratified sample</w:t>
      </w:r>
      <w:r>
        <w:t xml:space="preserve"> </w:t>
      </w:r>
      <w:r>
        <w:t xml:space="preserve">(</w:t>
      </w:r>
      <m:oMath>
        <m:r>
          <m:rPr>
            <m:nor/>
            <m:sty m:val="p"/>
          </m:rPr>
          <m:t>SAMPLES_PER_CLASS</m:t>
        </m:r>
        <m:r>
          <m:rPr>
            <m:sty m:val="p"/>
          </m:rPr>
          <m:t>=</m:t>
        </m:r>
        <m:r>
          <m:t>220</m:t>
        </m:r>
      </m:oMath>
      <w:r>
        <w:t xml:space="preserve">) before the F-1 5-fold split. The</w:t>
      </w:r>
      <w:r>
        <w:t xml:space="preserve"> </w:t>
      </w:r>
      <w:r>
        <w:t xml:space="preserve">resulting</w:t>
      </w:r>
      <w:r>
        <w:t xml:space="preserve"> </w:t>
      </w:r>
      <w:r>
        <w:rPr>
          <w:rStyle w:val="VerbatimChar"/>
        </w:rPr>
        <w:t xml:space="preserve">doc_term</w:t>
      </w:r>
      <w:r>
        <w:t xml:space="preserve"> </w:t>
      </w:r>
      <w:r>
        <w:t xml:space="preserve">matrix therefore encodes test-fold label</w:t>
      </w:r>
      <w:r>
        <w:t xml:space="preserve"> </w:t>
      </w:r>
      <w:r>
        <w:t xml:space="preserve">information into the vocabulary structure. The per-fold LDA refit</w:t>
      </w:r>
      <w:r>
        <w:t xml:space="preserve"> </w:t>
      </w:r>
      <w:r>
        <w:t xml:space="preserve">prevents downstream LDA leakage but does NOT correct the upstream</w:t>
      </w:r>
      <w:r>
        <w:t xml:space="preserve"> </w:t>
      </w:r>
      <w:r>
        <w:t xml:space="preserve">MI-weighting. V20’s F-1 macro-F1 should be read with this caveat;</w:t>
      </w:r>
      <w:r>
        <w:t xml:space="preserve"> </w:t>
      </w:r>
      <w:r>
        <w:t xml:space="preserve">the saturation of V20 (0.917), V8 (0.916) and V2 (0.917) to within</w:t>
      </w:r>
      <w:r>
        <w:t xml:space="preserve"> </w:t>
      </w:r>
      <m:oMath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}</m:t>
        </m:r>
      </m:oMath>
      <w:r>
        <w:t xml:space="preserve"> </w:t>
      </w:r>
      <w:r>
        <w:t xml:space="preserve">suggests the practical bias</w:t>
      </w:r>
      <w:r>
        <w:t xml:space="preserve"> </w:t>
      </w:r>
      <w:r>
        <w:t xml:space="preserve">is negligible at the topic_routed_soft saturation ceiling, but</w:t>
      </w:r>
      <w:r>
        <w:t xml:space="preserve"> </w:t>
      </w:r>
      <w:r>
        <w:t xml:space="preserve">methodologically V20 and V8/V2 are not directly comparable on F-1.</w:t>
      </w:r>
      <w:r>
        <w:t xml:space="preserve"> </w:t>
      </w:r>
      <w:r>
        <w:t xml:space="preserve">The metrics F-2, F-7, F-14, F-18 and F-22 do NOT depend on label</w:t>
      </w:r>
      <w:r>
        <w:t xml:space="preserve"> </w:t>
      </w:r>
      <w:r>
        <w:t xml:space="preserve">information of the test fold and are unaffected. A nested-protocol</w:t>
      </w:r>
      <w:r>
        <w:t xml:space="preserve"> </w:t>
      </w:r>
      <w:r>
        <w:t xml:space="preserve">re-run (MI weights computed per-fold from train_idx only) is</w:t>
      </w:r>
      <w:r>
        <w:t xml:space="preserve"> </w:t>
      </w:r>
      <w:r>
        <w:t xml:space="preserve">proposed in the reproducibility audit (issue #763); the expected</w:t>
      </w:r>
      <w:r>
        <w:t xml:space="preserve"> </w:t>
      </w:r>
      <w:r>
        <w:t xml:space="preserve">magnitude of the bias is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F</m:t>
        </m:r>
        <m:r>
          <m:rPr>
            <m:nor/>
            <m:sty m:val="p"/>
          </m:rPr>
          <m:t>-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0.005</m:t>
        </m:r>
      </m:oMath>
      <w:r>
        <w:t xml:space="preserve"> </w:t>
      </w:r>
      <w:r>
        <w:t xml:space="preserve">given the</w:t>
      </w:r>
      <w:r>
        <w:t xml:space="preserve"> </w:t>
      </w:r>
      <w:r>
        <w:t xml:space="preserve">observed saturation.</w:t>
      </w:r>
    </w:p>
    <w:p>
      <w:pPr>
        <w:pStyle w:val="BodyText"/>
      </w:pPr>
      <w:r>
        <w:t xml:space="preserve">Table </w:t>
      </w:r>
      <w:hyperlink w:anchor="tab:f1-full">
        <w:r>
          <w:rPr>
            <w:rStyle w:val="Hyperlink"/>
          </w:rPr>
          <w:t xml:space="preserve">[tab:f1-full]</w:t>
        </w:r>
      </w:hyperlink>
      <w:r>
        <w:t xml:space="preserve"> </w:t>
      </w:r>
      <w:r>
        <w:t xml:space="preserve">gives the mean macro-F1 across folds for</w:t>
      </w:r>
      <w:r>
        <w:t xml:space="preserve"> </w:t>
      </w:r>
      <w:r>
        <w:rPr>
          <w:i/>
          <w:iCs/>
        </w:rPr>
        <w:t xml:space="preserve">topic_routed_soft</w:t>
      </w:r>
      <w:r>
        <w:t xml:space="preserve"> </w:t>
      </w:r>
      <w:r>
        <w:t xml:space="preserve">on all 6 labelled scenes.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0.9216</w:t>
            </w:r>
          </w:p>
        </w:tc>
      </w:tr>
    </w:tbl>
    <w:p>
      <w:pPr>
        <w:pStyle w:val="BodyText"/>
      </w:pPr>
      <w:r>
        <w:t xml:space="preserve">V12 leads with mean macro-F1 = 0.9216; V1 (current canonical) is sixth</w:t>
      </w:r>
      <w:r>
        <w:t xml:space="preserve"> </w:t>
      </w:r>
      <w:r>
        <w:t xml:space="preserve">at 0.9152. The spread is small (0.0082 across the 12 recipes) but</w:t>
      </w:r>
      <w:r>
        <w:t xml:space="preserve"> </w:t>
      </w:r>
      <w:r>
        <w:t xml:space="preserve">consistent: V12 wins outright on Kennedy SC and Pavia U; V2 wins on</w:t>
      </w:r>
      <w:r>
        <w:t xml:space="preserve"> </w:t>
      </w:r>
      <w:r>
        <w:t xml:space="preserve">Indian Pines and Salinas; V8 wins on Botswana; V1 wins only on</w:t>
      </w:r>
      <w:r>
        <w:t xml:space="preserve"> </w:t>
      </w:r>
      <w:r>
        <w:t xml:space="preserve">Salinas-A, the easiest scene (all recipes tie at 0.997).</w:t>
      </w:r>
    </w:p>
    <w:p>
      <w:pPr>
        <w:pStyle w:val="BodyText"/>
      </w:pPr>
      <w:r>
        <w:t xml:space="preserve">The Bayesian hierarchical posterior over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the subject of</w:t>
      </w:r>
      <w:r>
        <w:t xml:space="preserve"> </w:t>
      </w:r>
      <w:r>
        <w:t xml:space="preserve">§</w:t>
      </w:r>
      <w:hyperlink w:anchor="sec:bayes">
        <w:r>
          <w:rPr>
            <w:rStyle w:val="Hyperlink"/>
          </w:rPr>
          <w:t xml:space="preserve">8</w:t>
        </w:r>
      </w:hyperlink>
      <w:r>
        <w:t xml:space="preserve">; it is the formal test of whether the 0.008 mean</w:t>
      </w:r>
      <w:r>
        <w:t xml:space="preserve"> </w:t>
      </w:r>
      <w:r>
        <w:t xml:space="preserve">spread crosses HDI94.</w:t>
      </w:r>
    </w:p>
    <w:bookmarkEnd w:id="30"/>
    <w:bookmarkEnd w:id="31"/>
    <w:bookmarkStart w:id="32" w:name="sec:f2-results"/>
    <w:p>
      <w:pPr>
        <w:pStyle w:val="Heading1"/>
      </w:pPr>
      <w:r>
        <w:t xml:space="preserve">F-2: topic–word coherence</w:t>
      </w:r>
    </w:p>
    <w:p>
      <w:pPr>
        <w:pStyle w:val="FirstParagraph"/>
      </w:pPr>
      <w:r>
        <w:t xml:space="preserve">Table </w:t>
      </w:r>
      <w:hyperlink w:anchor="tab:f2-full">
        <w:r>
          <w:rPr>
            <w:rStyle w:val="Hyperlink"/>
          </w:rPr>
          <w:t xml:space="preserve">[tab:f2-full]</w:t>
        </w:r>
      </w:hyperlink>
      <w:r>
        <w:t xml:space="preserve"> </w:t>
      </w:r>
      <w:r>
        <w:t xml:space="preserve">reports the full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matrix from the</w:t>
      </w:r>
      <w:r>
        <w:t xml:space="preserve"> </w:t>
      </w:r>
      <w:r>
        <w:t xml:space="preserve">completed sweep over the labelled-scene panel (Botswana excluded — its</w:t>
      </w:r>
      <w:r>
        <w:t xml:space="preserve"> </w:t>
      </w:r>
      <w:r>
        <w:t xml:space="preserve">canonical fits were the last to land and not all 12 recipes had completed</w:t>
      </w:r>
      <w:r>
        <w:t xml:space="preserve"> </w:t>
      </w:r>
      <w:r>
        <w:t xml:space="preserve">F-2 at the time of writing; the row will be added before submission).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0.84</w:t>
            </w:r>
          </w:p>
        </w:tc>
      </w:tr>
    </w:tbl>
    <w:p>
      <w:pPr>
        <w:pStyle w:val="BodyText"/>
      </w:pPr>
      <w:r>
        <w:t xml:space="preserve">V12 (GMM-token) wins F-2 on three of the five scenes; V1 wins on Kennedy</w:t>
      </w:r>
      <w:r>
        <w:t xml:space="preserve"> </w:t>
      </w:r>
      <w:r>
        <w:t xml:space="preserve">SC and Salinas-A; V3 is competitive everywhere but wins nowhere.</w:t>
      </w:r>
    </w:p>
    <w:bookmarkEnd w:id="32"/>
    <w:bookmarkStart w:id="33" w:name="sec:f7-results"/>
    <w:p>
      <w:pPr>
        <w:pStyle w:val="Heading1"/>
      </w:pPr>
      <w:r>
        <w:t xml:space="preserve">F-7: topic–label coupling under V-sweep</w:t>
      </w:r>
    </w:p>
    <w:p>
      <w:pPr>
        <w:pStyle w:val="FirstParagraph"/>
      </w:pPr>
      <w:r>
        <w:t xml:space="preserve">Table </w:t>
      </w:r>
      <w:hyperlink w:anchor="tab:f7-full">
        <w:r>
          <w:rPr>
            <w:rStyle w:val="Hyperlink"/>
          </w:rPr>
          <w:t xml:space="preserve">[tab:f7-full]</w:t>
        </w:r>
      </w:hyperlink>
      <w:r>
        <w:t xml:space="preserve"> </w:t>
      </w:r>
      <w:r>
        <w:t xml:space="preserve">reports the full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matrix for F-7</w:t>
      </w:r>
      <w:r>
        <w:t xml:space="preserve"> </w:t>
      </w:r>
      <w:r>
        <w:t xml:space="preserve">NMI between the argmax topic assignment and the labelled class.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0.64</w:t>
            </w:r>
          </w:p>
        </w:tc>
      </w:tr>
    </w:tbl>
    <w:p>
      <w:pPr>
        <w:pStyle w:val="BodyText"/>
      </w:pPr>
      <w:r>
        <w:t xml:space="preserve">V3 wins F-7 on three scenes (Indian Pines, Kennedy SC, Salinas-A);</w:t>
      </w:r>
      <w:r>
        <w:t xml:space="preserve"> </w:t>
      </w:r>
      <w:r>
        <w:t xml:space="preserve">V12 wins on Pavia U and Salinas.</w:t>
      </w:r>
      <w:r>
        <w:t xml:space="preserve"> </w:t>
      </w:r>
      <w:r>
        <w:rPr>
          <w:i/>
          <w:iCs/>
        </w:rPr>
        <w:t xml:space="preserve">V1 never wins F-7</w:t>
      </w:r>
      <w:r>
        <w:t xml:space="preserve">: on every</w:t>
      </w:r>
      <w:r>
        <w:t xml:space="preserve"> </w:t>
      </w:r>
      <w:r>
        <w:t xml:space="preserve">labelled scene there is at least one wordification that produces more</w:t>
      </w:r>
      <w:r>
        <w:t xml:space="preserve"> </w:t>
      </w:r>
      <w:r>
        <w:t xml:space="preserve">label-aligned topics. This is the strongest single-axis result in the</w:t>
      </w:r>
      <w:r>
        <w:t xml:space="preserve"> </w:t>
      </w:r>
      <w:r>
        <w:t xml:space="preserve">sweep and the key contribution against the V1-canonical assumption of</w:t>
      </w:r>
      <w:r>
        <w:t xml:space="preserve"> </w:t>
      </w:r>
      <w:r>
        <w:t xml:space="preserve">the companion paper.</w:t>
      </w:r>
    </w:p>
    <w:bookmarkEnd w:id="33"/>
    <w:bookmarkStart w:id="39" w:name="sec:f-extension-results"/>
    <w:p>
      <w:pPr>
        <w:pStyle w:val="Heading1"/>
      </w:pPr>
      <w:r>
        <w:t xml:space="preserve">F-2 and F-7 under the V13–V20 extension</w:t>
      </w:r>
    </w:p>
    <w:p>
      <w:pPr>
        <w:pStyle w:val="FirstParagraph"/>
      </w:pPr>
      <w:r>
        <w:t xml:space="preserve">Table </w:t>
      </w:r>
      <w:hyperlink w:anchor="tab:f2-extension">
        <w:r>
          <w:rPr>
            <w:rStyle w:val="Hyperlink"/>
          </w:rPr>
          <w:t xml:space="preserve">[tab:f2-extension]</w:t>
        </w:r>
      </w:hyperlink>
      <w:r>
        <w:t xml:space="preserve"> </w:t>
      </w:r>
      <w:r>
        <w:t xml:space="preserve">and Table </w:t>
      </w:r>
      <w:hyperlink w:anchor="tab:f7-extension">
        <w:r>
          <w:rPr>
            <w:rStyle w:val="Hyperlink"/>
          </w:rPr>
          <w:t xml:space="preserve">[tab:f7-extension]</w:t>
        </w:r>
      </w:hyperlink>
      <w:r>
        <w:t xml:space="preserve"> </w:t>
      </w:r>
      <w:r>
        <w:t xml:space="preserve">restate</w:t>
      </w:r>
      <w:r>
        <w:t xml:space="preserve"> </w:t>
      </w:r>
      <w:r>
        <w:t xml:space="preserve">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 F-7 normalised MI on a representative subset of recipes</w:t>
      </w:r>
      <w:r>
        <w:t xml:space="preserve"> </w:t>
      </w:r>
      <w:r>
        <w:t xml:space="preserve">(V1, V3, V12 as the V1–V12 reference points, plus the seven recipes</w:t>
      </w:r>
      <w:r>
        <w:t xml:space="preserve"> </w:t>
      </w:r>
      <w:r>
        <w:t xml:space="preserve">new to this revision V13–V15, V17–V20). The full 19-recipe matrix</w:t>
      </w:r>
      <w:r>
        <w:t xml:space="preserve"> </w:t>
      </w:r>
      <w:r>
        <w:t xml:space="preserve">is reproduced in Appendix </w:t>
      </w:r>
      <w:hyperlink w:anchor="app:full-matrix">
        <w:r>
          <w:rPr>
            <w:rStyle w:val="Hyperlink"/>
          </w:rPr>
          <w:t xml:space="preserve">14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</w:tbl>
    <w:bookmarkStart w:id="34" w:name="v20-mutual-information-weighted-bands."/>
    <w:p>
      <w:pPr>
        <w:pStyle w:val="Heading4"/>
      </w:pPr>
      <w:r>
        <w:t xml:space="preserve">V20 — mutual-information-weighted bands.</w:t>
      </w:r>
    </w:p>
    <w:p>
      <w:pPr>
        <w:pStyle w:val="FirstParagraph"/>
      </w:pPr>
      <w:r>
        <w:t xml:space="preserve">V20 is the cheapest answer to</w:t>
      </w:r>
      <w:r>
        <w:t xml:space="preserve"> </w:t>
      </w:r>
      <w:r>
        <w:t xml:space="preserve">“why are all bands weighted equally?”</w:t>
      </w:r>
      <w:r>
        <w:t xml:space="preserve"> </w:t>
      </w:r>
      <w:r>
        <w:t xml:space="preserve">in V1: re-emit each (band, q-bin) token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times where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Per-band MI is estimated once on the labelled training pixels with</w:t>
      </w:r>
      <w:r>
        <w:t xml:space="preserve"> </w:t>
      </w:r>
      <w:r>
        <w:rPr>
          <w:rStyle w:val="VerbatimChar"/>
        </w:rPr>
        <w:t xml:space="preserve">sklearn.feature_selection.mutual_info_classif</w:t>
      </w:r>
      <w:r>
        <w:t xml:space="preserve"> </w:t>
      </w:r>
      <w:r>
        <w:t xml:space="preserve">(random_state = 42); near-zero bands collapse to zero copies and</w:t>
      </w:r>
      <w:r>
        <w:t xml:space="preserve"> </w:t>
      </w:r>
      <w:r>
        <w:t xml:space="preserve">high-MI bands amplify.</w:t>
      </w:r>
      <w:r>
        <w:t xml:space="preserve"> </w:t>
      </w:r>
      <w:r>
        <w:rPr>
          <w:i/>
          <w:iCs/>
        </w:rPr>
        <w:t xml:space="preserve">V20 wins F-2 on Indian Pines (0.88) and</w:t>
      </w:r>
      <w:r>
        <w:rPr>
          <w:i/>
          <w:iCs/>
        </w:rPr>
        <w:t xml:space="preserve"> </w:t>
      </w:r>
      <w:r>
        <w:rPr>
          <w:i/>
          <w:iCs/>
        </w:rPr>
        <w:t xml:space="preserve">F-7 NMI on Indian Pines (0.44)</w:t>
      </w:r>
      <w:r>
        <w:t xml:space="preserve">, places second to V3 on Salinas-A F-7</w:t>
      </w:r>
      <w:r>
        <w:t xml:space="preserve"> </w:t>
      </w:r>
      <w:r>
        <w:t xml:space="preserve">(0.68 tie), and matches V12 within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NMI mean. The simplicity of</w:t>
      </w:r>
      <w:r>
        <w:t xml:space="preserve"> </w:t>
      </w:r>
      <w:r>
        <w:t xml:space="preserve">the recipe relative to V12 (no GMM, no out-of-core fit, no per-scene</w:t>
      </w:r>
      <w:r>
        <w:t xml:space="preserve"> </w:t>
      </w:r>
      <w:r>
        <w:t xml:space="preserve">clustering) makes it the most attractive of the extensions for the</w:t>
      </w:r>
      <w:r>
        <w:t xml:space="preserve"> </w:t>
      </w:r>
      <w:r>
        <w:t xml:space="preserve">“few-knob, label-aware”</w:t>
      </w:r>
      <w:r>
        <w:t xml:space="preserve"> </w:t>
      </w:r>
      <w:r>
        <w:t xml:space="preserve">regime.</w:t>
      </w:r>
    </w:p>
    <w:bookmarkEnd w:id="34"/>
    <w:bookmarkStart w:id="35" w:name="v18-graph-laplacian-eigenvector-tokens."/>
    <w:p>
      <w:pPr>
        <w:pStyle w:val="Heading4"/>
      </w:pPr>
      <w:r>
        <w:t xml:space="preserve">V18 — graph-Laplacian eigenvector tokens.</w:t>
      </w:r>
    </w:p>
    <w:p>
      <w:pPr>
        <w:pStyle w:val="FirstParagraph"/>
      </w:pPr>
      <w:r>
        <w:t xml:space="preserve">V18 builds 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nearest-neighbour cosine-affinity graph over the</w:t>
      </w:r>
      <w:r>
        <w:t xml:space="preserve"> </w:t>
      </w:r>
      <w:r>
        <w:t xml:space="preserve">sampled pixels, computes the symmetric-normalised Laplacian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A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extracts the first 16 eigenvectors via</w:t>
      </w:r>
      <w:r>
        <w:t xml:space="preserve"> </w:t>
      </w:r>
      <w:r>
        <w:rPr>
          <w:rStyle w:val="VerbatimChar"/>
        </w:rPr>
        <w:t xml:space="preserve">scipy.sparse.linalg.eigsh</w:t>
      </w:r>
      <w:r>
        <w:t xml:space="preserve"> </w:t>
      </w:r>
      <w:r>
        <w:t xml:space="preserve">(sigma-magnitude solver),</w:t>
      </w:r>
      <w:r>
        <w:t xml:space="preserve"> </w:t>
      </w:r>
      <w:r>
        <w:t xml:space="preserve">percentile-bins each eigenvector axis into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bins, and emits</w:t>
      </w:r>
      <w:r>
        <w:t xml:space="preserve"> </w:t>
      </w:r>
      <w:r>
        <w:t xml:space="preserve">one (eigenvector_id, bin) token per axis per pixel. The intuition is</w:t>
      </w:r>
      <w:r>
        <w:t xml:space="preserve"> </w:t>
      </w:r>
      <w:r>
        <w:t xml:space="preserve">that low-frequency Laplacian eigenvectors carry global manifold</w:t>
      </w:r>
      <w:r>
        <w:t xml:space="preserve"> </w:t>
      </w:r>
      <w:r>
        <w:t xml:space="preserve">structure that LDA can latch onto. The mean F-7 NMI of 0.43 places</w:t>
      </w:r>
      <w:r>
        <w:t xml:space="preserve"> </w:t>
      </w:r>
      <w:r>
        <w:t xml:space="preserve">V18 third among the new recipes (behind V20 0.52 and V14 0.46) and</w:t>
      </w:r>
      <w:r>
        <w:t xml:space="preserve"> </w:t>
      </w:r>
      <w:r>
        <w:rPr>
          <w:i/>
          <w:iCs/>
        </w:rPr>
        <w:t xml:space="preserve">V18 produces the most coherent topics on Pavia U among the</w:t>
      </w:r>
      <w:r>
        <w:rPr>
          <w:i/>
          <w:iCs/>
        </w:rPr>
        <w:t xml:space="preserve"> </w:t>
      </w:r>
      <w:r>
        <w:rPr>
          <w:i/>
          <w:iCs/>
        </w:rPr>
        <w:t xml:space="preserve">V13–V20 set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0.66</m:t>
        </m:r>
      </m:oMath>
      <w:r>
        <w:t xml:space="preserve">). Topics in V18 fits correspond to</w:t>
      </w:r>
      <w:r>
        <w:t xml:space="preserve"> </w:t>
      </w:r>
      <w:r>
        <w:t xml:space="preserve">contiguous manifold regions rather than band-signature templates,</w:t>
      </w:r>
      <w:r>
        <w:t xml:space="preserve"> </w:t>
      </w:r>
      <w:r>
        <w:t xml:space="preserve">which is the right basis when the labelled classes are themselves</w:t>
      </w:r>
      <w:r>
        <w:t xml:space="preserve"> </w:t>
      </w:r>
      <w:r>
        <w:t xml:space="preserve">clustered in spectral space.</w:t>
      </w:r>
    </w:p>
    <w:bookmarkEnd w:id="35"/>
    <w:bookmarkStart w:id="36" w:name="v14-continuous-wavelet-morlet-tokens."/>
    <w:p>
      <w:pPr>
        <w:pStyle w:val="Heading4"/>
      </w:pPr>
      <w:r>
        <w:t xml:space="preserve">V14 — continuous-wavelet (Morlet) tokens.</w:t>
      </w:r>
    </w:p>
    <w:p>
      <w:pPr>
        <w:pStyle w:val="FirstParagraph"/>
      </w:pPr>
      <w:r>
        <w:t xml:space="preserve">V14 emits top-16 magnitude cells from a 16-log-scale, 8-position-bucket</w:t>
      </w:r>
      <w:r>
        <w:t xml:space="preserve"> </w:t>
      </w:r>
      <w:r>
        <w:t xml:space="preserve">CWT-Morlet decomposition of the spectrum. It is the multi-scale</w:t>
      </w:r>
      <w:r>
        <w:t xml:space="preserve"> </w:t>
      </w:r>
      <w:r>
        <w:t xml:space="preserve">analogue of V6 (Db4 DWT). V14 places second among the new recipes on</w:t>
      </w:r>
      <w:r>
        <w:t xml:space="preserve"> </w:t>
      </w:r>
      <w:r>
        <w:t xml:space="preserve">F-7 mean (0.46) and produces the second-highest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 the new-recipe</w:t>
      </w:r>
      <w:r>
        <w:t xml:space="preserve"> </w:t>
      </w:r>
      <w:r>
        <w:t xml:space="preserve">subset on Pavia U and Kennedy SC. The mother wavelet’s</w:t>
      </w:r>
      <w:r>
        <w:t xml:space="preserve"> </w:t>
      </w:r>
      <w:r>
        <w:t xml:space="preserve">location-frequency resolution lets V14 outperform V6 on every scene</w:t>
      </w:r>
      <w:r>
        <w:t xml:space="preserve"> </w:t>
      </w:r>
      <w:r>
        <w:t xml:space="preserve">where V6 was reported (V6 mean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in V-sweep: 0.55, V14: 0.63).</w:t>
      </w:r>
    </w:p>
    <w:bookmarkEnd w:id="36"/>
    <w:bookmarkStart w:id="37" w:name="X42466ebe2ad1ac170f7a16174d8a523de4e043d"/>
    <w:p>
      <w:pPr>
        <w:pStyle w:val="Heading4"/>
      </w:pPr>
      <w:r>
        <w:t xml:space="preserve">V13 / V17 / V19 — underperformers and the cost of</w:t>
      </w:r>
      <w:r>
        <w:t xml:space="preserve"> </w:t>
      </w:r>
      <w:r>
        <w:t xml:space="preserve">expressiveness.</w:t>
      </w:r>
    </w:p>
    <w:p>
      <w:pPr>
        <w:pStyle w:val="FirstParagraph"/>
      </w:pPr>
      <w:r>
        <w:t xml:space="preserve">V13 (VQ-VAE codebook), V17 (sparse-coding dictionary), and V19 (UMAP</w:t>
      </w:r>
      <w:r>
        <w:t xml:space="preserve"> </w:t>
      </w:r>
      <w:r>
        <w:t xml:space="preserve">coordinates) all underperform the V1/V3/V12 reference on F-2 and F-7.</w:t>
      </w:r>
      <w:r>
        <w:t xml:space="preserve"> </w:t>
      </w:r>
      <w:r>
        <w:t xml:space="preserve">V13’s mean F-2 of 0.25 is the lowest in the entire 19-recipe sweep:</w:t>
      </w:r>
      <w:r>
        <w:t xml:space="preserve"> </w:t>
      </w:r>
      <w:r>
        <w:t xml:space="preserve">the joint training of encoder, codebook, and decoder with a</w:t>
      </w:r>
      <w:r>
        <w:t xml:space="preserve"> </w:t>
      </w:r>
      <w:r>
        <w:t xml:space="preserve">straight-through estimator delivers compact codes that are good for</w:t>
      </w:r>
      <w:r>
        <w:t xml:space="preserve"> </w:t>
      </w:r>
      <w:r>
        <w:t xml:space="preserve">reconstruction but bad for the topic-as-mixture-of-tokens assumption</w:t>
      </w:r>
      <w:r>
        <w:t xml:space="preserve"> </w:t>
      </w:r>
      <w:r>
        <w:t xml:space="preserve">LDA depends on. V17 suffers from the opposite problem — a 512-atom</w:t>
      </w:r>
      <w:r>
        <w:t xml:space="preserve"> </w:t>
      </w:r>
      <w:r>
        <w:t xml:space="preserve">vocabulary with only 8 non-zero coefficients per pixel produces</w:t>
      </w:r>
      <w:r>
        <w:t xml:space="preserve"> </w:t>
      </w:r>
      <w:r>
        <w:t xml:space="preserve">extreme sparsity that LDA struggles to fit topics over. V19’s</w:t>
      </w:r>
      <w:r>
        <w:t xml:space="preserve"> </w:t>
      </w:r>
      <w:r>
        <w:t xml:space="preserve">3-coordinate tokens are too few — the per-axis percentile binning</w:t>
      </w:r>
      <w:r>
        <w:t xml:space="preserve"> </w:t>
      </w:r>
      <w:r>
        <w:t xml:space="preserve">produces tokens that are abstract (</w:t>
      </w:r>
      <w:r>
        <w:t xml:space="preserve">“UMAP-d0 q03”</w:t>
      </w:r>
      <w:r>
        <w:t xml:space="preserve">) and cannot align</w:t>
      </w:r>
      <w:r>
        <w:t xml:space="preserve"> </w:t>
      </w:r>
      <w:r>
        <w:t xml:space="preserve">with class-specific spectral signatures. The takeaway is that</w:t>
      </w:r>
      <w:r>
        <w:t xml:space="preserve"> </w:t>
      </w:r>
      <w:r>
        <w:t xml:space="preserve">expressive learnt representations need not produce LDA-friendly token</w:t>
      </w:r>
      <w:r>
        <w:t xml:space="preserve"> </w:t>
      </w:r>
      <w:r>
        <w:t xml:space="preserve">distributions; the recipe must respect the bag-of-tokens assumption.</w:t>
      </w:r>
    </w:p>
    <w:bookmarkEnd w:id="37"/>
    <w:bookmarkStart w:id="38" w:name="v15-spectral-index-tokens."/>
    <w:p>
      <w:pPr>
        <w:pStyle w:val="Heading4"/>
      </w:pPr>
      <w:r>
        <w:t xml:space="preserve">V15 — spectral-index tokens.</w:t>
      </w:r>
    </w:p>
    <w:p>
      <w:pPr>
        <w:pStyle w:val="FirstParagraph"/>
      </w:pPr>
      <w:r>
        <w:t xml:space="preserve">V15 emits NDVI/MNDWI/NBR/NDSI/EVI/SAVI per pixel, with each index</w:t>
      </w:r>
      <w:r>
        <w:t xml:space="preserve"> </w:t>
      </w:r>
      <w:r>
        <w:t xml:space="preserve">q-binned. V15 places below V14 on every axis (F-2 mean 0.36 vs 0.63;</w:t>
      </w:r>
      <w:r>
        <w:t xml:space="preserve"> </w:t>
      </w:r>
      <w:r>
        <w:t xml:space="preserve">F-7 mean 0.31 vs 0.46) but is the only recipe whose token names map</w:t>
      </w:r>
      <w:r>
        <w:t xml:space="preserve"> </w:t>
      </w:r>
      <w:r>
        <w:t xml:space="preserve">to a published remote-sensing semantic: in a topic-as-region</w:t>
      </w:r>
      <w:r>
        <w:t xml:space="preserve"> </w:t>
      </w:r>
      <w:r>
        <w:t xml:space="preserve">interpretation, a topic dominated by</w:t>
      </w:r>
      <w:r>
        <w:t xml:space="preserve"> </w:t>
      </w:r>
      <w:r>
        <w:t xml:space="preserve">“NDVI q05–q07”</w:t>
      </w:r>
      <w:r>
        <w:t xml:space="preserve"> </w:t>
      </w:r>
      <w:r>
        <w:t xml:space="preserve">is unambiguously</w:t>
      </w:r>
      <w:r>
        <w:t xml:space="preserve"> </w:t>
      </w:r>
      <w:r>
        <w:t xml:space="preserve">vegetated. V15 should therefore be regarded as a</w:t>
      </w:r>
      <w:r>
        <w:t xml:space="preserve"> </w:t>
      </w:r>
      <w:r>
        <w:rPr>
          <w:i/>
          <w:iCs/>
        </w:rPr>
        <w:t xml:space="preserve">semantic</w:t>
      </w:r>
      <w:r>
        <w:rPr>
          <w:i/>
          <w:iCs/>
        </w:rP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rather than as a performance recipe.</w:t>
      </w:r>
    </w:p>
    <w:bookmarkEnd w:id="38"/>
    <w:bookmarkEnd w:id="39"/>
    <w:bookmarkStart w:id="41" w:name="sec:bayes"/>
    <w:p>
      <w:pPr>
        <w:pStyle w:val="Heading1"/>
      </w:pPr>
      <w:r>
        <w:t xml:space="preserve">Posterior summary on F-1: tight overlap</w:t>
      </w:r>
    </w:p>
    <w:p>
      <w:pPr>
        <w:pStyle w:val="FirstParagraph"/>
      </w:pPr>
      <w:r>
        <w:t xml:space="preserve">We summarise the per-recipe mean macro-F1 with bootstrap percentile</w:t>
      </w:r>
      <w:r>
        <w:t xml:space="preserve"> </w:t>
      </w:r>
      <w:r>
        <w:t xml:space="preserve">intervals as a robust posterior-like quantity (</w:t>
      </w:r>
      <m:oMath>
        <m:r>
          <m:t>B</m:t>
        </m:r>
        <m:r>
          <m:rPr>
            <m:sty m:val="p"/>
          </m:rPr>
          <m:t>=</m:t>
        </m:r>
        <m:r>
          <m:t>5000</m:t>
        </m:r>
      </m:oMath>
      <w:r>
        <w:t xml:space="preserve"> </w:t>
      </w:r>
      <w:r>
        <w:t xml:space="preserve">resamples</w:t>
      </w:r>
      <w:r>
        <w:t xml:space="preserve"> </w:t>
      </w:r>
      <w:r>
        <w:t xml:space="preserve">of the 30 per-fold scores per recipe,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42</m:t>
        </m:r>
      </m:oMath>
      <w:r>
        <w:t xml:space="preserve">).</w:t>
      </w:r>
      <w:r>
        <w:t xml:space="preserve"> </w:t>
      </w:r>
      <w:r>
        <w:t xml:space="preserve">A full hierarchical Bayesian (NUTS) fit is also runnable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build_v_sweep_f1_bayesian.py</w:t>
      </w:r>
      <w:r>
        <w:t xml:space="preserve">); the bootstrap is reported</w:t>
      </w:r>
      <w:r>
        <w:t xml:space="preserve"> </w:t>
      </w:r>
      <w:r>
        <w:t xml:space="preserve">here because (a) the 720-observation panel produces a posterior whose</w:t>
      </w:r>
      <w:r>
        <w:t xml:space="preserve"> </w:t>
      </w:r>
      <w:r>
        <w:t xml:space="preserve">tail is well-approximated by the bootstrap and (b) the NUTS fit on</w:t>
      </w:r>
      <w:r>
        <w:t xml:space="preserve"> </w:t>
      </w:r>
      <w:r>
        <w:t xml:space="preserve">Windows + PyTensor was prohibitively slow during preprint preparation.</w:t>
      </w:r>
    </w:p>
    <w:bookmarkStart w:id="40" w:name="tab:bootstrap"/>
    <w:p>
      <w:pPr>
        <w:pStyle w:val="TableCaption"/>
      </w:pPr>
      <w:r>
        <w:t xml:space="preserve">Per-recipe bootstrap percentile interval (HDI94 = 3%–97%</w:t>
      </w:r>
      <w:r>
        <w:t xml:space="preserve"> </w:t>
      </w:r>
      <w:r>
        <w:t xml:space="preserve">bootstrap quantile) on F-1 mean macro-F1, topic_routed_soft.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ecipe bootstrap percentile interval (HDI94 = 3%–97% bootstrap quantile) on F-1 mean macro-F1, topic_routed_sof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posterior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[0.9005, 0.9424]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[0.8932, 0.9395]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[0.8939, 0.9375]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[0.8933, 0.9386]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[0.8922, 0.9381]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[0.8924, 0.9375]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[0.8927, 0.9367]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[0.8902, 0.9367]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[0.8905, 0.9360]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[0.8920, 0.9354]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[0.8881, 0.9364]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[0.8893, 0.9362]</w:t>
            </w:r>
          </w:p>
        </w:tc>
      </w:tr>
    </w:tbl>
    <w:bookmarkEnd w:id="40"/>
    <w:p>
      <w:pPr>
        <w:pStyle w:val="BodyText"/>
      </w:pPr>
      <w:r>
        <w:t xml:space="preserve">The spread between V12 (best) and V6 (worst) is</w:t>
      </w:r>
      <w:r>
        <w:t xml:space="preserve"> </w:t>
      </w:r>
      <m:oMath>
        <m:r>
          <m:t>0.0085</m:t>
        </m:r>
      </m:oMath>
      <w:r>
        <w:t xml:space="preserve">; every</w:t>
      </w:r>
      <w:r>
        <w:t xml:space="preserve"> </w:t>
      </w:r>
      <w:r>
        <w:t xml:space="preserve">recipe’s HDI94 contains every other recipe’s posterior mean.</w:t>
      </w:r>
      <w:r>
        <w:t xml:space="preserve"> </w:t>
      </w:r>
      <w:r>
        <w:rPr>
          <w:b/>
          <w:bCs/>
        </w:rPr>
        <w:t xml:space="preserve">On F-1 alone, the recipes are statistically indistinguishable</w:t>
      </w:r>
      <w:r>
        <w:rPr>
          <w:b/>
          <w:bCs/>
        </w:rPr>
        <w:t xml:space="preserve"> </w:t>
      </w:r>
      <w:r>
        <w:rPr>
          <w:b/>
          <w:bCs/>
        </w:rPr>
        <w:t xml:space="preserve">under the bootstrap.</w:t>
      </w:r>
      <w:r>
        <w:t xml:space="preserve"> </w:t>
      </w:r>
      <w:r>
        <w:t xml:space="preserve">This is the formal version of the</w:t>
      </w:r>
      <w:r>
        <w:t xml:space="preserve"> </w:t>
      </w:r>
      <w:r>
        <w:t xml:space="preserve">“F-1 spread is small”</w:t>
      </w:r>
      <w:r>
        <w:t xml:space="preserve"> </w:t>
      </w:r>
      <w:r>
        <w:t xml:space="preserve">observation. The discriminating axes are</w:t>
      </w:r>
      <w:r>
        <w:t xml:space="preserve"> </w:t>
      </w:r>
      <w:r>
        <w:t xml:space="preserve">F-2 and F-7, where the spread reaches 0.5 and 0.6 respectively</w:t>
      </w:r>
      <w:r>
        <w:t xml:space="preserve"> </w:t>
      </w:r>
      <w:r>
        <w:t xml:space="preserve">(see Tables</w:t>
      </w:r>
      <w:r>
        <w:t xml:space="preserve"> </w:t>
      </w:r>
      <w:hyperlink w:anchor="tab:f2-full">
        <w:r>
          <w:rPr>
            <w:rStyle w:val="Hyperlink"/>
          </w:rPr>
          <w:t xml:space="preserve">[tab:f2-full]</w:t>
        </w:r>
      </w:hyperlink>
      <w:r>
        <w:t xml:space="preserve"> </w:t>
      </w:r>
      <w:r>
        <w:t xml:space="preserve">and</w:t>
      </w:r>
      <w:r>
        <w:t xml:space="preserve"> </w:t>
      </w:r>
      <w:hyperlink w:anchor="tab:f7-full">
        <w:r>
          <w:rPr>
            <w:rStyle w:val="Hyperlink"/>
          </w:rPr>
          <w:t xml:space="preserve">[tab:f7-full]</w:t>
        </w:r>
      </w:hyperlink>
      <w:r>
        <w:t xml:space="preserve">).</w:t>
      </w:r>
    </w:p>
    <w:bookmarkEnd w:id="41"/>
    <w:bookmarkStart w:id="43" w:name="sec:matrix"/>
    <w:p>
      <w:pPr>
        <w:pStyle w:val="Heading1"/>
      </w:pPr>
      <w:r>
        <w:t xml:space="preserve">The joint result matrix</w:t>
      </w:r>
    </w:p>
    <w:p>
      <w:pPr>
        <w:pStyle w:val="FirstParagraph"/>
      </w:pPr>
      <w:r>
        <w:t xml:space="preserve">Across F-1, F-2 and F-7 on the five labelled scenes with complete</w:t>
      </w:r>
      <w:r>
        <w:t xml:space="preserve"> </w:t>
      </w:r>
      <w:r>
        <w:t xml:space="preserve">data (Botswana row partial for F-2 and F-7), each recipe’s win</w:t>
      </w:r>
      <w:r>
        <w:t xml:space="preserve"> </w:t>
      </w:r>
      <w:r>
        <w:t xml:space="preserve">count is:</w:t>
      </w:r>
    </w:p>
    <w:bookmarkStart w:id="42" w:name="tab:wincount"/>
    <w:p>
      <w:pPr>
        <w:pStyle w:val="TableCaption"/>
      </w:pPr>
      <w:r>
        <w:t xml:space="preserve">Per-axis win count for each recipe across the labelled-scene</w:t>
      </w:r>
      <w:r>
        <w:t xml:space="preserve"> </w:t>
      </w:r>
      <w:r>
        <w:t xml:space="preserve">panel (F-1 across all six scenes for two reference methods; F-2 and</w:t>
      </w:r>
      <w:r>
        <w:t xml:space="preserve"> </w:t>
      </w:r>
      <w:r>
        <w:t xml:space="preserve">F-7 across all six scenes). Total = sum across F-1, F-2, F-7 over the</w:t>
      </w:r>
      <w:r>
        <w:t xml:space="preserve"> </w:t>
      </w:r>
      <w:r>
        <w:t xml:space="preserve">nineteen-recipe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axis win count for each recipe across the labelled-scene panel (F-1 across all six scenes for two reference methods; F-2 and F-7 across all six scenes). Total = sum across F-1, F-2, F-7 over the nineteen-recipe sweep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F-1 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F-2 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F-7 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42"/>
    <w:p>
      <w:pPr>
        <w:pStyle w:val="BodyText"/>
      </w:pPr>
      <w:r>
        <w:t xml:space="preserve">V12 is still the most consistent winner across the three axes, but the</w:t>
      </w:r>
      <w:r>
        <w:t xml:space="preserve"> </w:t>
      </w:r>
      <w:r>
        <w:t xml:space="preserve">nineteen-recipe sweep redistributes the F-2 and F-7 wins. V20 (new)</w:t>
      </w:r>
      <w:r>
        <w:t xml:space="preserve"> </w:t>
      </w:r>
      <w:r>
        <w:t xml:space="preserve">captures one F-2 win (Indian Pines,</w:t>
      </w:r>
      <w:r>
        <w:t xml:space="preserve"> </w:t>
      </w:r>
      <m:oMath>
        <m:r>
          <m:t>0.88</m:t>
        </m:r>
      </m:oMath>
      <w:r>
        <w:t xml:space="preserve">) and one F-7 win (Indian</w:t>
      </w:r>
      <w:r>
        <w:t xml:space="preserve"> </w:t>
      </w:r>
      <w:r>
        <w:t xml:space="preserve">Pines,</w:t>
      </w:r>
      <w:r>
        <w:t xml:space="preserve"> </w:t>
      </w:r>
      <m:oMath>
        <m:r>
          <m:t>0.44</m:t>
        </m:r>
      </m:oMath>
      <w:r>
        <w:t xml:space="preserve">), turning what was previously a one-recipe-dominates story</w:t>
      </w:r>
      <w:r>
        <w:t xml:space="preserve"> </w:t>
      </w:r>
      <w:r>
        <w:t xml:space="preserve">on the most-studied scene of the panel into a three-way race</w:t>
      </w:r>
      <w:r>
        <w:t xml:space="preserve"> </w:t>
      </w:r>
      <w:r>
        <w:t xml:space="preserve">(V20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V12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V3 on F-7). V3 sheds one F-7 win to V20 and one to V12</w:t>
      </w:r>
      <w:r>
        <w:t xml:space="preserve"> </w:t>
      </w:r>
      <w:r>
        <w:t xml:space="preserve">on Pavia U; V1 (current canonical) wins F-1 only on the easiest scene</w:t>
      </w:r>
      <w:r>
        <w:t xml:space="preserve"> </w:t>
      </w:r>
      <w:r>
        <w:t xml:space="preserve">(Salinas-A) and F-2 on the two scenes where absolute reflectance is the</w:t>
      </w:r>
      <w:r>
        <w:t xml:space="preserve"> </w:t>
      </w:r>
      <w:r>
        <w:t xml:space="preserve">diagnostic; it never wins F-7. Crucially, the spread between V12, V3,</w:t>
      </w:r>
      <w:r>
        <w:t xml:space="preserve"> </w:t>
      </w:r>
      <w:r>
        <w:t xml:space="preserve">and V20 on F-7 mean is only</w:t>
      </w:r>
      <w:r>
        <w:t xml:space="preserve"> </w:t>
      </w:r>
      <m:oMath>
        <m:r>
          <m:t>0.014</m:t>
        </m:r>
      </m:oMath>
      <w:r>
        <w:t xml:space="preserve"> </w:t>
      </w:r>
      <w:r>
        <w:t xml:space="preserve">NMI — a flat top, not a sharp peak.</w:t>
      </w:r>
    </w:p>
    <w:bookmarkEnd w:id="43"/>
    <w:bookmarkStart w:id="75" w:name="sec:extensions"/>
    <w:p>
      <w:pPr>
        <w:pStyle w:val="Heading1"/>
      </w:pPr>
      <w:r>
        <w:t xml:space="preserve">Extension axes F-13, F-14, F-17, F-22 and backbone factorial</w:t>
      </w:r>
    </w:p>
    <w:p>
      <w:pPr>
        <w:pStyle w:val="FirstParagraph"/>
      </w:pPr>
      <w:r>
        <w:t xml:space="preserve">Six follow-up axes were added beyond F-1..F-12. Each is described</w:t>
      </w:r>
      <w:r>
        <w:t xml:space="preserve"> </w:t>
      </w:r>
      <w:r>
        <w:t xml:space="preserve">briefly here; the full per-recipe per-scene tables and builder code</w:t>
      </w:r>
      <w:r>
        <w:t xml:space="preserve"> </w:t>
      </w:r>
      <w:r>
        <w:t xml:space="preserve">are released alongside the paper.</w:t>
      </w:r>
    </w:p>
    <w:p>
      <w:pPr>
        <w:pStyle w:val="BodyText"/>
      </w:pPr>
      <w:r>
        <w:rPr>
          <w:b/>
          <w:bCs/>
        </w:rPr>
        <w:t xml:space="preserve">F-13 SHAP attribution.</w:t>
      </w:r>
      <w:r>
        <w:t xml:space="preserve"> </w:t>
      </w:r>
      <w:r>
        <w:t xml:space="preserve">For every (V, scene) we attribute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to recipe-specific tokens using SHAP’s KernelExplainer</w:t>
      </w:r>
      <w:r>
        <w:t xml:space="preserve"> </w:t>
      </w:r>
      <w:r>
        <w:t xml:space="preserve">on a closed-form posterior. Reports the top-8 tokens per topic with</w:t>
      </w:r>
      <w:r>
        <w:t xml:space="preserve"> </w:t>
      </w:r>
      <w:r>
        <w:t xml:space="preserve">mean absolute SHAP. This is the headline interpretability defence.</w:t>
      </w:r>
    </w:p>
    <w:p>
      <w:pPr>
        <w:pStyle w:val="BodyText"/>
      </w:pPr>
      <w:r>
        <w:rPr>
          <w:b/>
          <w:bCs/>
        </w:rPr>
        <w:t xml:space="preserve">F-14 repetitiveness.</w:t>
      </w:r>
      <w:r>
        <w:t xml:space="preserve"> </w:t>
      </w:r>
      <w:r>
        <w:t xml:space="preserve">Mean off-diagonal top-10 jaccard between</w:t>
      </w:r>
      <w:r>
        <w:t xml:space="preserve"> </w:t>
      </w:r>
      <w:r>
        <w:t xml:space="preserve">topics. Lower is better. Per-recipe mean across six scenes:</w:t>
      </w:r>
      <w:r>
        <w:t xml:space="preserve"> </w:t>
      </w:r>
      <w:r>
        <w:t xml:space="preserve">V9 = 0.000, V7 = 0.009, V12 = 0.009, V3 = 0.012; V1 = 0.200 (mid-pack);</w:t>
      </w:r>
      <w:r>
        <w:t xml:space="preserve"> </w:t>
      </w:r>
      <w:r>
        <w:t xml:space="preserve">V6 = 0.738 and V8 = 0.868 are dominated by their tiny vocabularies.</w:t>
      </w:r>
    </w:p>
    <w:p>
      <w:pPr>
        <w:pStyle w:val="BodyText"/>
      </w:pPr>
      <w:r>
        <w:rPr>
          <w:b/>
          <w:bCs/>
        </w:rPr>
        <w:t xml:space="preserve">F-17 cross-scene transfer.</w:t>
      </w:r>
      <w:r>
        <w:t xml:space="preserve"> </w:t>
      </w:r>
      <w:r>
        <w:t xml:space="preserve">Fit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on scene S1, transform</w:t>
      </w:r>
      <w:r>
        <w:t xml:space="preserve"> </w:t>
      </w:r>
      <w:r>
        <w:t xml:space="preserve">S2’s documents, compute F-7 NMI on the target. Only vocab-portable</w:t>
      </w:r>
      <w:r>
        <w:t xml:space="preserve"> </w:t>
      </w:r>
      <w:r>
        <w:t xml:space="preserve">recipes (V2, V10, V11) qualify. V2 transfers best at 0.32 mean NMI;</w:t>
      </w:r>
      <w:r>
        <w:t xml:space="preserve"> </w:t>
      </w:r>
      <w:r>
        <w:t xml:space="preserve">V11 0.19; V10 0.10.</w:t>
      </w:r>
    </w:p>
    <w:p>
      <w:pPr>
        <w:pStyle w:val="BodyText"/>
      </w:pPr>
      <w:r>
        <w:rPr>
          <w:b/>
          <w:bCs/>
        </w:rPr>
        <w:t xml:space="preserve">F-18 reliability.</w:t>
      </w:r>
      <w:r>
        <w:t xml:space="preserve"> </w:t>
      </w:r>
      <w:r>
        <w:t xml:space="preserve">Maier 2024 protocol — top-10 indicator</w:t>
      </w:r>
      <w:r>
        <w:t xml:space="preserve"> </w:t>
      </w:r>
      <w:r>
        <w:t xml:space="preserve">cosine similarity threshold across reseed pairs (seeds 42–46).</w:t>
      </w:r>
      <w:r>
        <w:t xml:space="preserve"> </w:t>
      </w:r>
      <w:r>
        <w:t xml:space="preserve">Per-recipe mean fraction-above-0.7 across the six labelled scenes: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0.14</w:t>
            </w:r>
          </w:p>
        </w:tc>
      </w:tr>
    </w:tbl>
    <w:p>
      <w:pPr>
        <w:pStyle w:val="BodyText"/>
      </w:pPr>
      <w:r>
        <w:rPr>
          <w:i/>
          <w:iCs/>
        </w:rPr>
        <w:t xml:space="preserve">Italic</w:t>
      </w:r>
      <w:r>
        <w:t xml:space="preserve"> </w:t>
      </w:r>
      <w:r>
        <w:t xml:space="preserve">marks recipes whose reliability is an artefact of</w:t>
      </w:r>
      <w:r>
        <w:t xml:space="preserve"> </w:t>
      </w:r>
      <w:r>
        <w:t xml:space="preserve">vocabulary size: V2 (8 q-bins), V8 (12 endmembers), and V6 (wavelet</w:t>
      </w:r>
      <w:r>
        <w:t xml:space="preserve"> </w:t>
      </w:r>
      <w:r>
        <w:t xml:space="preserve">levels) have small or smooth vocabularies that force top-10 alignment</w:t>
      </w:r>
      <w:r>
        <w:t xml:space="preserve"> </w:t>
      </w:r>
      <w:r>
        <w:t xml:space="preserve">across seeds regardless of model dynamics. The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V12 marks</w:t>
      </w:r>
      <w:r>
        <w:t xml:space="preserve"> </w:t>
      </w:r>
      <w:r>
        <w:t xml:space="preserve">the recipe that leads F-2 and F-7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(F-1 is a non-discriminating</w:t>
      </w:r>
      <w:r>
        <w:t xml:space="preserve"> </w:t>
      </w:r>
      <w:r>
        <w:t xml:space="preserve">tie) but loses F-14 to V9, loses F-22 to V20 (V20 26.3 vs V12 24.5),</w:t>
      </w:r>
      <w:r>
        <w:t xml:space="preserve"> </w:t>
      </w:r>
      <w:r>
        <w:t xml:space="preserve">and loses F-18 to every recipe except V9. V12’s flexibility is</w:t>
      </w:r>
      <w:r>
        <w:t xml:space="preserve"> </w:t>
      </w:r>
      <w:r>
        <w:t xml:space="preserve">seed-sensitive.</w:t>
      </w:r>
    </w:p>
    <w:bookmarkStart w:id="44" w:name="the-reliabilityinformativeness-tradeoff."/>
    <w:p>
      <w:pPr>
        <w:pStyle w:val="Heading4"/>
      </w:pPr>
      <w:r>
        <w:t xml:space="preserve">The reliability–informativeness tradeoff.</w:t>
      </w:r>
    </w:p>
    <w:p>
      <w:pPr>
        <w:pStyle w:val="FirstParagraph"/>
      </w:pPr>
      <w:r>
        <w:t xml:space="preserve">V12, V3, V7, V5, V4 all sit in the 0.14–0.25 range — informative</w:t>
      </w:r>
      <w:r>
        <w:t xml:space="preserve"> </w:t>
      </w:r>
      <w:r>
        <w:t xml:space="preserve">but seed-sensitive. V1 (current canonical) at 0.25 is the most</w:t>
      </w:r>
      <w:r>
        <w:t xml:space="preserve"> </w:t>
      </w:r>
      <w:r>
        <w:t xml:space="preserve">reliable of the informative recipes that have non-trivial vocabulary</w:t>
      </w:r>
      <w:r>
        <w:t xml:space="preserve"> </w:t>
      </w:r>
      <w:r>
        <w:t xml:space="preserve">(B = 200 bands). This is the strongest argument for V1 retaining</w:t>
      </w:r>
      <w:r>
        <w:t xml:space="preserve"> </w:t>
      </w:r>
      <w:r>
        <w:t xml:space="preserve">its canonical status</w:t>
      </w:r>
      <w:r>
        <w:t xml:space="preserve"> </w:t>
      </w:r>
      <w:r>
        <w:rPr>
          <w:i/>
          <w:iCs/>
        </w:rPr>
        <w:t xml:space="preserve">even when V12 wins all other axes</w:t>
      </w:r>
      <w:r>
        <w:t xml:space="preserve">: V1 is</w:t>
      </w:r>
      <w:r>
        <w:t xml:space="preserve"> </w:t>
      </w:r>
      <w:r>
        <w:t xml:space="preserve">the most reliable wordification with informative vocabulary.</w:t>
      </w:r>
    </w:p>
    <w:bookmarkEnd w:id="44"/>
    <w:bookmarkStart w:id="45" w:name="X8dd6c15288c279b23ef33d4d939130ae6822c59"/>
    <w:p>
      <w:pPr>
        <w:pStyle w:val="Heading4"/>
      </w:pPr>
      <w:r>
        <w:t xml:space="preserve">V20 falls on the V12 side of the reliability axis.</w:t>
      </w:r>
    </w:p>
    <w:p>
      <w:pPr>
        <w:pStyle w:val="FirstParagraph"/>
      </w:pPr>
      <w:r>
        <w:t xml:space="preserve">The extended F-18 sweep with the label-aware recipe yields</w:t>
      </w:r>
      <w:r>
        <w:t xml:space="preserve"> </w:t>
      </w:r>
      <w:r>
        <w:t xml:space="preserve">mean matched-cosine</w:t>
      </w:r>
      <w:r>
        <w:t xml:space="preserve"> </w:t>
      </w:r>
      <m:oMath>
        <m:r>
          <m:t>0.451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six labelled scenes — squarely in the V12 / V3 / V4 informative-</w:t>
      </w:r>
      <w:r>
        <w:t xml:space="preserve"> </w:t>
      </w:r>
      <w:r>
        <w:t xml:space="preserve">but-seed-sensitive regime, despite V20’s strong F-2 / F-7 / F-22</w:t>
      </w:r>
      <w:r>
        <w:t xml:space="preserve"> </w:t>
      </w:r>
      <w:r>
        <w:t xml:space="preserve">performance. The MI-reweighting in V20 produces a relatively flat</w:t>
      </w:r>
      <w:r>
        <w:t xml:space="preserve"> </w:t>
      </w:r>
      <w:r>
        <w:t xml:space="preserve">topic-word matrix in regions of low MI, so different LDA seeds find</w:t>
      </w:r>
      <w:r>
        <w:t xml:space="preserve"> </w:t>
      </w:r>
      <w:r>
        <w:t xml:space="preserve">different sparse refinements of the high-MI bands.</w:t>
      </w:r>
      <w:r>
        <w:t xml:space="preserve"> </w:t>
      </w:r>
      <w:r>
        <w:rPr>
          <w:b/>
          <w:bCs/>
        </w:rPr>
        <w:t xml:space="preserve">V8</w:t>
      </w:r>
      <w:r>
        <w:rPr>
          <w:b/>
          <w:bCs/>
        </w:rPr>
        <w:t xml:space="preserve"> </w:t>
      </w:r>
      <w:r>
        <w:rPr>
          <w:b/>
          <w:bCs/>
        </w:rPr>
        <w:t xml:space="preserve">(NFINDR endmember-fraction)</w:t>
      </w:r>
      <w:r>
        <w:t xml:space="preserve"> </w:t>
      </w:r>
      <w:r>
        <w:t xml:space="preserve">is the new F-18 leader at</w:t>
      </w:r>
      <w:r>
        <w:t xml:space="preserve"> </w:t>
      </w:r>
      <m:oMath>
        <m:r>
          <m:t>0.957</m:t>
        </m:r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0.962</m:t>
        </m:r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): the endmember basis is determined geometrically</w:t>
      </w:r>
      <w:r>
        <w:t xml:space="preserve"> </w:t>
      </w:r>
      <w:r>
        <w:t xml:space="preserve">(convex hull, not stochastic), so refits land on the same top-10</w:t>
      </w:r>
      <w:r>
        <w:t xml:space="preserve"> </w:t>
      </w:r>
      <w:r>
        <w:t xml:space="preserve">indicators across seeds. Critically, V8’s high reliability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vocab-size artefact that drove V2 / V6: V8 inherits</w:t>
      </w:r>
      <w:r>
        <w:t xml:space="preserve"> </w:t>
      </w:r>
      <w:r>
        <w:t xml:space="preserve">its information from convex-hull geometry over the spectral simplex,</w:t>
      </w:r>
      <w:r>
        <w:t xml:space="preserve"> </w:t>
      </w:r>
      <w:r>
        <w:t xml:space="preserve">which is itself a label-correlated structure.</w:t>
      </w:r>
      <w:r>
        <w:t xml:space="preserve"> </w:t>
      </w:r>
      <w:r>
        <w:rPr>
          <w:b/>
          <w:bCs/>
        </w:rPr>
        <w:t xml:space="preserve">V8 therefore</w:t>
      </w:r>
      <w:r>
        <w:rPr>
          <w:b/>
          <w:bCs/>
        </w:rPr>
        <w:t xml:space="preserve"> </w:t>
      </w:r>
      <w:r>
        <w:rPr>
          <w:b/>
          <w:bCs/>
        </w:rPr>
        <w:t xml:space="preserve">combines the cross-backbone-portability finding (top-3 mean F-7 NMI</w:t>
      </w:r>
      <w:r>
        <w:rPr>
          <w:b/>
          <w:bCs/>
        </w:rPr>
        <w:t xml:space="preserve"> </w:t>
      </w:r>
      <w:r>
        <w:rPr>
          <w:b/>
          <w:bCs/>
        </w:rPr>
        <w:t xml:space="preserve">across LDA / HDP / ProdLDA / ETM) with reseed reliability at the</w:t>
      </w:r>
      <w:r>
        <w:rPr>
          <w:b/>
          <w:bCs/>
        </w:rPr>
        <w:t xml:space="preserve"> </w:t>
      </w:r>
      <m:oMath>
        <m:r>
          <m:t>0.95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level — a previously unrecognised composite recommendation.</w:t>
      </w:r>
    </w:p>
    <w:p>
      <w:pPr>
        <w:pStyle w:val="BodyText"/>
      </w:pPr>
      <w:r>
        <w:rPr>
          <w:b/>
          <w:bCs/>
        </w:rPr>
        <w:t xml:space="preserve">F-22 counterfactual.</w:t>
      </w:r>
      <w:r>
        <w:t xml:space="preserve"> </w:t>
      </w:r>
      <w:r>
        <w:t xml:space="preserve">Coordinate-descent search for minimum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perturbation that flips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max</m:t>
        </m:r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, capped at</w:t>
      </w:r>
      <w:r>
        <w:t xml:space="preserve"> </w:t>
      </w:r>
      <m:oMath>
        <m:r>
          <m:rPr>
            <m:nor/>
            <m:sty m:val="p"/>
          </m:rPr>
          <m:t>MAX_STEPS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token-flips. Cells where every sampled</w:t>
      </w:r>
      <w:r>
        <w:t xml:space="preserve"> </w:t>
      </w:r>
      <w:r>
        <w:t xml:space="preserve">document fails to flip persist with the sentinel value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being dropped. Higher = more robust topic boundary. Per-recipe</w:t>
      </w:r>
      <w:r>
        <w:t xml:space="preserve"> </w:t>
      </w:r>
      <w:r>
        <w:t xml:space="preserve">mean of the per-scene medians across the 19-recipe sweep: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26.3</w:t>
            </w:r>
          </w:p>
        </w:tc>
      </w:tr>
    </w:tbl>
    <w:p>
      <w:pPr>
        <w:pStyle w:val="BodyText"/>
      </w:pPr>
      <w:r>
        <w:rPr>
          <w:b/>
          <w:bCs/>
        </w:rPr>
        <w:t xml:space="preserve">V20 has the most robust topic basis</w:t>
      </w:r>
      <w:r>
        <w:t xml:space="preserve"> </w:t>
      </w:r>
      <w:r>
        <w:t xml:space="preserve">in the sweep</w:t>
      </w:r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26.3</m:t>
        </m:r>
      </m:oMath>
      <w:r>
        <w:t xml:space="preserve">), surpassing the previous leader V12 (24.5) and the</w:t>
      </w:r>
      <w:r>
        <w:t xml:space="preserve"> </w:t>
      </w:r>
      <w:r>
        <w:t xml:space="preserve">joint (band, q-bin) vocabulary V3 (23.5). On three scenes (Salinas-A,</w:t>
      </w:r>
      <w:r>
        <w:t xml:space="preserve"> </w:t>
      </w:r>
      <w:r>
        <w:t xml:space="preserve">Pavia U, Botswana) every sampled document under V20 failed to flip</w:t>
      </w:r>
      <w:r>
        <w:t xml:space="preserve"> </w:t>
      </w:r>
      <w:r>
        <w:t xml:space="preserve">within 50 perturbations; the sentinel value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caps that</w:t>
      </w:r>
      <w:r>
        <w:t xml:space="preserve"> </w:t>
      </w:r>
      <w:r>
        <w:t xml:space="preserve">observation. The interpretation: V20’s per-band MI re-weighting</w:t>
      </w:r>
      <w:r>
        <w:t xml:space="preserve"> </w:t>
      </w:r>
      <w:r>
        <w:t xml:space="preserve">concentrates token mass on the discriminative subspectrum, so small</w:t>
      </w:r>
      <w:r>
        <w:t xml:space="preserve"> </w:t>
      </w:r>
      <w:r>
        <w:t xml:space="preserve">perturbations of low-MI bands do not move the argmax topic and</w:t>
      </w:r>
      <w:r>
        <w:t xml:space="preserve"> </w:t>
      </w:r>
      <w:r>
        <w:t xml:space="preserve">perturbations of high-MI bands require many simultaneous flips to</w:t>
      </w:r>
      <w:r>
        <w:t xml:space="preserve"> </w:t>
      </w:r>
      <w:r>
        <w:t xml:space="preserve">exit the recipe’s amplification basin. V9 (one token per document)</w:t>
      </w:r>
      <w:r>
        <w:t xml:space="preserve"> </w:t>
      </w:r>
      <w:r>
        <w:t xml:space="preserve">flips at the first perturbation, V12 inherits robustness from its</w:t>
      </w:r>
      <w:r>
        <w:t xml:space="preserve"> </w:t>
      </w:r>
      <w:r>
        <w:t xml:space="preserve">soft GMM responsibilities.</w:t>
      </w:r>
    </w:p>
    <w:bookmarkEnd w:id="45"/>
    <w:bookmarkStart w:id="66" w:name="f-22-q-trajectory."/>
    <w:p>
      <w:pPr>
        <w:pStyle w:val="Heading4"/>
      </w:pPr>
      <w:r>
        <w:t xml:space="preserve">F-22 Q-trajectory.</w:t>
      </w:r>
    </w:p>
    <w:p>
      <w:pPr>
        <w:pStyle w:val="FirstParagraph"/>
      </w:pPr>
      <w:r>
        <w:t xml:space="preserve">Re-running the four top contenders at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}</m:t>
        </m:r>
      </m:oMath>
      <w:r>
        <w:t xml:space="preserve"> </w:t>
      </w:r>
      <w:r>
        <w:t xml:space="preserve">reveals a non-monotonic peak for V20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41.83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59</m:t>
        </m:r>
        <m:r>
          <m:rPr>
            <m:sty m:val="p"/>
          </m:rPr>
          <m:t>%</m:t>
        </m:r>
      </m:oMath>
      <w:r>
        <w:t xml:space="preserve"> </w:t>
      </w:r>
      <w:r>
        <w:t xml:space="preserve">over Q=8), with the gain collapsing back to</w:t>
      </w:r>
      <w:r>
        <w:t xml:space="preserve"> </w:t>
      </w:r>
      <m:oMath>
        <m:r>
          <m:t>26.17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as the discriminative subspectrum splits across</w:t>
      </w:r>
      <w:r>
        <w:t xml:space="preserve"> </w:t>
      </w:r>
      <w:r>
        <w:t xml:space="preserve">more codewords. V12 reclaims the lead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30.00</m:t>
        </m:r>
      </m:oMath>
      <w:r>
        <w:t xml:space="preserve">),</w:t>
      </w:r>
      <w:r>
        <w:t xml:space="preserve"> </w:t>
      </w:r>
      <w:r>
        <w:t xml:space="preserve">matching its F-7 peak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but extending it on F-22. V8 is the</w:t>
      </w:r>
      <w:r>
        <w:t xml:space="preserve"> </w:t>
      </w:r>
      <w:r>
        <w:t xml:space="preserve">only top-contender whose adversarial robustness rises monotonically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m:oMath>
        <m:r>
          <m:t>3.58</m:t>
        </m:r>
        <m:r>
          <m:rPr>
            <m:sty m:val="p"/>
          </m:rPr>
          <m:t>→</m:t>
        </m:r>
        <m:r>
          <m:t>9.58</m:t>
        </m:r>
        <m:r>
          <m:rPr>
            <m:sty m:val="p"/>
          </m:rPr>
          <m:t>→</m:t>
        </m:r>
        <m:r>
          <m:t>20.25</m:t>
        </m:r>
      </m:oMath>
      <w:r>
        <w:t xml:space="preserve">), consistent with its</w:t>
      </w:r>
      <w:r>
        <w:t xml:space="preserve"> </w:t>
      </w:r>
      <w:r>
        <w:t xml:space="preserve">cross-backbone F-7 portability — V8’s endmember-fraction vocabulary</w:t>
      </w:r>
      <w:r>
        <w:t xml:space="preserve"> </w:t>
      </w:r>
      <w:r>
        <w:t xml:space="preserve">preserves discriminative structure across both finer quantisation and</w:t>
      </w:r>
      <w:r>
        <w:t xml:space="preserve"> </w:t>
      </w:r>
      <w:r>
        <w:t xml:space="preserve">across topic-model backbones.</w:t>
      </w:r>
    </w:p>
    <w:bookmarkStart w:id="49" w:name="fig:q-sensitivity"/>
    <w:p>
      <w:pPr>
        <w:pStyle w:val="CaptionedFigure"/>
      </w:pPr>
      <w:r>
        <w:drawing>
          <wp:inline>
            <wp:extent cx="5067300" cy="150366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q-sensitivity-all19.pd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03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19-recipe Q-sensitivity under LDA. Both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F-7 NMI plotted across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}</m:t>
        </m:r>
      </m:oMath>
      <w:r>
        <w:t xml:space="preserve"> </w:t>
      </w:r>
      <w:r>
        <w:t xml:space="preserve">for every recipe (V13</w:t>
      </w:r>
      <w:r>
        <w:t xml:space="preserve"> </w:t>
      </w:r>
      <w:r>
        <w:t xml:space="preserve">excluded — Q-insensitive).</w:t>
      </w:r>
      <w:r>
        <w:t xml:space="preserve"> </w:t>
      </w:r>
      <w:r>
        <w:rPr>
          <w:b/>
          <w:bCs/>
        </w:rPr>
        <w:t xml:space="preserve">Three recipes climb monotonically</w:t>
      </w:r>
      <w:r>
        <w:rPr>
          <w:b/>
          <w:bCs/>
        </w:rPr>
        <w:t xml:space="preserve"> </w:t>
      </w:r>
      <w:r>
        <w:rPr>
          <w:b/>
          <w:bCs/>
        </w:rPr>
        <w:t xml:space="preserve">on both F-2 and F-7</w:t>
      </w:r>
      <w:r>
        <w:t xml:space="preserve">: V20 (purple,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, label-aware), V2 (cyan,</w:t>
      </w:r>
      <w:r>
        <w:t xml:space="preserve"> </w:t>
      </w:r>
      <w:r>
        <w:t xml:space="preserve">intensity-bin), V8 (green, NFINDR endmember). V6 (dashed cyan) is</w:t>
      </w:r>
      <w:r>
        <w:t xml:space="preserve"> </w:t>
      </w:r>
      <w:r>
        <w:t xml:space="preserve">monotonic on F-7 only. The remaining 15 recipes are greyed: 8 decline</w:t>
      </w:r>
      <w:r>
        <w:t xml:space="preserve"> </w:t>
      </w:r>
      <w:r>
        <w:t xml:space="preserve">monotonically, 6 peak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, V3 plateaus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. V20 has the</w:t>
      </w:r>
      <w:r>
        <w:t xml:space="preserve"> </w:t>
      </w:r>
      <w:r>
        <w:t xml:space="preserve">steepest gains on both axes (F-2 +0.060, F-7 +0.043) and the highest</w:t>
      </w:r>
      <w:r>
        <w:t xml:space="preserve"> </w:t>
      </w:r>
      <w:r>
        <w:t xml:space="preserve">absolute values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(F-2 0.910, F-7 0.563), and is the only</w:t>
      </w:r>
      <w:r>
        <w:t xml:space="preserve"> </w:t>
      </w:r>
      <w:r>
        <w:rPr>
          <w:i/>
          <w:iCs/>
        </w:rPr>
        <w:t xml:space="preserve">label-aware</w:t>
      </w:r>
      <w:r>
        <w:t xml:space="preserve"> </w:t>
      </w:r>
      <w:r>
        <w:t xml:space="preserve">recipe in the monotonic-improvement family.</w:t>
      </w:r>
    </w:p>
    <w:bookmarkEnd w:id="49"/>
    <w:bookmarkStart w:id="53" w:name="fig:per-scene-q-winners"/>
    <w:p>
      <w:pPr>
        <w:pStyle w:val="CaptionedFigure"/>
      </w:pPr>
      <w:r>
        <w:drawing>
          <wp:inline>
            <wp:extent cx="5067300" cy="265901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er-scene-q-winners.pd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59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Per-scene F-7 NMI winner under LDA at each quantisation</w:t>
      </w:r>
      <w:r>
        <w:t xml:space="preserve"> </w:t>
      </w:r>
      <w:r>
        <w:t xml:space="preserve">level. V20 dominance scales with Q: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V20 wins only on</w:t>
      </w:r>
      <w:r>
        <w:t xml:space="preserve"> </w:t>
      </w:r>
      <w:r>
        <w:t xml:space="preserve">Indian Pines (1/6 scenes),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V20 still wins only Indian</w:t>
      </w:r>
      <w:r>
        <w:t xml:space="preserve"> </w:t>
      </w:r>
      <w:r>
        <w:t xml:space="preserve">Pines (1/6), and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V20 wins four of six scenes</w:t>
      </w:r>
      <w:r>
        <w:t xml:space="preserve"> </w:t>
      </w:r>
      <w:r>
        <w:t xml:space="preserve">(Salinas-A, Pavia U, KSC, Botswana). The jump from 1/6 to 4/6</w:t>
      </w:r>
      <w:r>
        <w:t xml:space="preserve"> </w:t>
      </w:r>
      <w:r>
        <w:t xml:space="preserve">between Q=16 and Q=32 is the sharpest single Q-step gain in the</w:t>
      </w:r>
      <w:r>
        <w:t xml:space="preserve"> </w:t>
      </w:r>
      <w:r>
        <w:t xml:space="preserve">sweep. The Q=8 ranking gives V12 three wins and V3 two; both lose</w:t>
      </w:r>
      <w:r>
        <w:t xml:space="preserve"> </w:t>
      </w:r>
      <w:r>
        <w:t xml:space="preserve">ground under finer quantisation.</w:t>
      </w:r>
      <w:r>
        <w:t xml:space="preserve"> </w:t>
      </w:r>
      <w:r>
        <w:t xml:space="preserve">V20’s per-band MI re-weighting benefits most from finer intensity</w:t>
      </w:r>
      <w:r>
        <w:t xml:space="preserve"> </w:t>
      </w:r>
      <w:r>
        <w:t xml:space="preserve">histograms.</w:t>
      </w:r>
    </w:p>
    <w:bookmarkEnd w:id="53"/>
    <w:bookmarkStart w:id="57" w:name="fig:radar"/>
    <w:p>
      <w:pPr>
        <w:pStyle w:val="CaptionedFigure"/>
      </w:pPr>
      <w:r>
        <w:drawing>
          <wp:inline>
            <wp:extent cx="5067300" cy="307375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3-radar-top-recipes.pdf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073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Per-recipe radar across the eight evaluation axes, normalised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across the 19-recipe set. F-14 (jaccard) is sign-inverted</w:t>
      </w:r>
      <w:r>
        <w:t xml:space="preserve"> </w:t>
      </w:r>
      <w:r>
        <w:t xml:space="preserve">so</w:t>
      </w:r>
      <w:r>
        <w:t xml:space="preserve"> </w:t>
      </w:r>
      <w:r>
        <w:t xml:space="preserve">“1”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“best on this axis”</w:t>
      </w:r>
      <w:r>
        <w:t xml:space="preserve">. V20 (purple) and V12</w:t>
      </w:r>
      <w:r>
        <w:t xml:space="preserve"> </w:t>
      </w:r>
      <w:r>
        <w:t xml:space="preserve">(orange) cover the most surface area; V18 (cyan) tops the F-18</w:t>
      </w:r>
      <w:r>
        <w:t xml:space="preserve"> </w:t>
      </w:r>
      <w:r>
        <w:t xml:space="preserve">reliability axis; V1 (grey) is mid-pack on every axis.</w:t>
      </w:r>
    </w:p>
    <w:bookmarkEnd w:id="57"/>
    <w:bookmarkStart w:id="61" w:name="fig:corr"/>
    <w:p>
      <w:pPr>
        <w:pStyle w:val="CaptionedFigure"/>
      </w:pPr>
      <w:r>
        <w:drawing>
          <wp:inline>
            <wp:extent cx="5334000" cy="182728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p3-axis-correlation.pdf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7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Spearman rank correlation across the 114 (recipe, scene)</w:t>
      </w:r>
      <w:r>
        <w:t xml:space="preserve"> </w:t>
      </w:r>
      <w:r>
        <w:t xml:space="preserve">cells. F-14 inverted so all axes read</w:t>
      </w:r>
      <w:r>
        <w:t xml:space="preserve"> </w:t>
      </w:r>
      <w:r>
        <w:t xml:space="preserve">“higher = better”</w:t>
      </w:r>
      <w:r>
        <w:t xml:space="preserve">.</w:t>
      </w:r>
      <w:r>
        <w:t xml:space="preserve"> </w:t>
      </w:r>
      <w:r>
        <w:t xml:space="preserve">F-2 / ETM and F-2 / ProdLDA cluster tightly (</w:t>
      </w:r>
      <m:oMath>
        <m:r>
          <m:t>ρ</m:t>
        </m:r>
        <m:r>
          <m:rPr>
            <m:sty m:val="p"/>
          </m:rPr>
          <m:t>≥</m:t>
        </m:r>
        <m:r>
          <m:t>0.76</m:t>
        </m:r>
      </m:oMath>
      <w:r>
        <w:t xml:space="preserve">);</w:t>
      </w:r>
      <w:r>
        <w:t xml:space="preserve"> </w:t>
      </w:r>
      <w:r>
        <w:t xml:space="preserve">F-14 anti-correlates with F-18 (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0.74</m:t>
        </m:r>
      </m:oMath>
      <w:r>
        <w:t xml:space="preserve">, the vocabulary-size</w:t>
      </w:r>
      <w:r>
        <w:t xml:space="preserve"> </w:t>
      </w:r>
      <w:r>
        <w:t xml:space="preserve">confounder); F-22 / F-7 correlate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0.58</m:t>
        </m:r>
      </m:oMath>
      <w:r>
        <w:t xml:space="preserve"> </w:t>
      </w:r>
      <w:r>
        <w:t xml:space="preserve">(robust topics tend</w:t>
      </w:r>
      <w:r>
        <w:t xml:space="preserve"> </w:t>
      </w:r>
      <w:r>
        <w:t xml:space="preserve">to be label-aligned).</w:t>
      </w:r>
    </w:p>
    <w:bookmarkEnd w:id="61"/>
    <w:bookmarkStart w:id="65" w:name="fig:backbone-factorial"/>
    <w:p>
      <w:pPr>
        <w:pStyle w:val="CaptionedFigure"/>
      </w:pPr>
      <w:r>
        <w:drawing>
          <wp:inline>
            <wp:extent cx="5280660" cy="199634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p4-backbone-factorial.pd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1996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Backbone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wordification factorial. Each cell shows</w:t>
      </w:r>
      <w:r>
        <w:t xml:space="preserve"> </w:t>
      </w:r>
      <w:r>
        <w:t xml:space="preserve">the mean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across the six labelled scenes for one</w:t>
      </w:r>
      <w:r>
        <w:t xml:space="preserve"> </w:t>
      </w:r>
      <w:r>
        <w:t xml:space="preserve">(backbone, recipe) pair. Green border +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= per-backbone winner;</w:t>
      </w:r>
      <w:r>
        <w:t xml:space="preserve"> </w:t>
      </w:r>
      <w:r>
        <w:t xml:space="preserve">purple cell label = V20 (the label-aware recipe). Hatched cells</w:t>
      </w:r>
      <w:r>
        <w:t xml:space="preserve"> </w:t>
      </w:r>
      <w:r>
        <w:t xml:space="preserve">indicate the (HDP, {V13, V15, V17, V19}) cells that were not</w:t>
      </w:r>
      <w:r>
        <w:t xml:space="preserve"> </w:t>
      </w:r>
      <w:r>
        <w:t xml:space="preserve">re-run in this cycle. No recipe dominates every backbone: LDA + ETM</w:t>
      </w:r>
      <w:r>
        <w:t xml:space="preserve"> </w:t>
      </w:r>
      <w:r>
        <w:t xml:space="preserve">agree on V12 / V3 / V20 ties; HDP picks V7 (sparse absorption</w:t>
      </w:r>
      <w:r>
        <w:t xml:space="preserve"> </w:t>
      </w:r>
      <w:r>
        <w:t xml:space="preserve">tokens); ProdLDA picks V3 with V20 close behind.</w:t>
      </w:r>
    </w:p>
    <w:bookmarkEnd w:id="65"/>
    <w:p>
      <w:pPr>
        <w:pStyle w:val="BodyText"/>
      </w:pPr>
      <w:r>
        <w:rPr>
          <w:b/>
          <w:bCs/>
        </w:rPr>
        <w:t xml:space="preserve">Backbone factorial — HDP.</w:t>
      </w:r>
      <w:r>
        <w:t xml:space="preserve"> </w:t>
      </w:r>
      <w:r>
        <w:t xml:space="preserve">The first row of the</w:t>
      </w:r>
      <w:r>
        <w:t xml:space="preserve"> </w:t>
      </w:r>
      <w:r>
        <w:t xml:space="preserve">#617 factorial proposal: same 72 cells, but the topic backbone is</w:t>
      </w:r>
      <w:r>
        <w:t xml:space="preserve"> </w:t>
      </w:r>
      <w:r>
        <w:t xml:space="preserve">gensim’s Hierarchical Dirichlet Process rather than fixed-K LDA.</w:t>
      </w:r>
      <w:r>
        <w:t xml:space="preserve"> </w:t>
      </w:r>
      <w:r>
        <w:t xml:space="preserve">The per-recipe ranking on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i/>
          <w:iCs/>
        </w:rPr>
        <w:t xml:space="preserve">inverts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LDA backbone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HDP backbone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0.311</w:t>
            </w:r>
          </w:p>
        </w:tc>
      </w:tr>
    </w:tbl>
    <w:p>
      <w:pPr>
        <w:pStyle w:val="BodyText"/>
      </w:pPr>
      <w:r>
        <w:t xml:space="preserve">Under LDA, V12’s dense GMM-token vocab + Dirichlet prior produces the</w:t>
      </w:r>
      <w:r>
        <w:t xml:space="preserve"> </w:t>
      </w:r>
      <w:r>
        <w:t xml:space="preserve">most coherent topics. Under HDP, the truncation prior favours recipes</w:t>
      </w:r>
      <w:r>
        <w:t xml:space="preserve"> </w:t>
      </w:r>
      <w:r>
        <w:t xml:space="preserve">whose few tokens carry semantic weight (V7’s six absorption features</w:t>
      </w:r>
      <w:r>
        <w:t xml:space="preserve"> </w:t>
      </w:r>
      <w:r>
        <w:t xml:space="preserve">per pixel).</w:t>
      </w:r>
      <w:r>
        <w:t xml:space="preserve"> </w:t>
      </w:r>
      <w:r>
        <w:rPr>
          <w:b/>
          <w:bCs/>
        </w:rPr>
        <w:t xml:space="preserve">This is the cleanest evidence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wordification ranking depends on the backbone — i.e.,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factorial study is the right next step.</w:t>
      </w:r>
    </w:p>
    <w:bookmarkEnd w:id="66"/>
    <w:bookmarkStart w:id="74" w:name="subsec:backbone-f7"/>
    <w:p>
      <w:pPr>
        <w:pStyle w:val="Heading2"/>
      </w:pPr>
      <w:r>
        <w:t xml:space="preserve">F-7 NMI across the four backbones</w:t>
      </w:r>
    </w:p>
    <w:p>
      <w:pPr>
        <w:pStyle w:val="FirstParagraph"/>
      </w:pPr>
      <w:r>
        <w:t xml:space="preserve">The c397 backbone factorial reported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only. The c432–c434</w:t>
      </w:r>
      <w:r>
        <w:t xml:space="preserve"> </w:t>
      </w:r>
      <w:r>
        <w:t xml:space="preserve">extension adds F-7 NMI under each non-LDA backbone:</w:t>
      </w:r>
    </w:p>
    <w:bookmarkStart w:id="67" w:name="tab:f7-4backbone"/>
    <w:p>
      <w:pPr>
        <w:pStyle w:val="TableCaption"/>
      </w:pPr>
      <w:r>
        <w:t xml:space="preserve">F-7 NMI mean across the six labelled scenes, top-12 recipes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 topic-model backbones (c436 full sweep, 456/456 cells).</w:t>
      </w:r>
      <w:r>
        <w:t xml:space="preserve"> </w:t>
      </w:r>
      <w:r>
        <w:t xml:space="preserve">Bold = per-backbone winner. Recipes sorted by 4-backbone mean.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7 NMI mean across the six labelled scenes, top-12 recipes \times four topic-model backbones (c436 full sweep, 456/456 cells). Bold = per-backbone winner. Recipes sorted by 4-backbone mea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V8</w:t>
            </w:r>
            <w:r>
              <w:t xml:space="preserve"> </w:t>
            </w:r>
            <w:r>
              <w:t xml:space="preserve">(NFINDR)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0.328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 (MI-weighted)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(intensity-bin)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 (product quantisation)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 (GMM-token)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(joint band-bin)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 (UMAP coord)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 (spectral indices)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 (VQ-VAE)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 (CWT-Morlet)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 (graph-Laplacian)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(band-frequency)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0.252</w:t>
            </w:r>
          </w:p>
        </w:tc>
      </w:tr>
    </w:tbl>
    <w:bookmarkEnd w:id="67"/>
    <w:bookmarkStart w:id="68" w:name="X3fc377d878b500a0f1dade7bb83cf8bc4ef9f33"/>
    <w:p>
      <w:pPr>
        <w:pStyle w:val="Heading4"/>
      </w:pPr>
      <w:r>
        <w:t xml:space="preserve">Convergence audit (footnote to the cross-backbone table).</w:t>
      </w:r>
    </w:p>
    <w:p>
      <w:pPr>
        <w:pStyle w:val="FirstParagraph"/>
      </w:pPr>
      <w:r>
        <w:t xml:space="preserve">The 4-backbone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19-recipe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6-scene Q=8 factorial</w:t>
      </w:r>
      <w:r>
        <w:t xml:space="preserve"> </w:t>
      </w:r>
      <w:r>
        <w:t xml:space="preserve">contains a non-trivial number of cells where the backbone failed to</w:t>
      </w:r>
      <w:r>
        <w:t xml:space="preserve"> </w:t>
      </w:r>
      <w:r>
        <w:t xml:space="preserve">converge (NMI = 0 or near-zero): LDA 1/114, ETM 1/114, but</w:t>
      </w:r>
      <w:r>
        <w:t xml:space="preserve"> </w:t>
      </w:r>
      <w:r>
        <w:rPr>
          <w:b/>
          <w:bCs/>
        </w:rPr>
        <w:t xml:space="preserve">HDP 25/114 (22%)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ProdLDA 41/114 (36%)</w:t>
      </w:r>
      <w:r>
        <w:t xml:space="preserve">. The</w:t>
      </w:r>
      <w:r>
        <w:t xml:space="preserve"> </w:t>
      </w:r>
      <w:r>
        <w:t xml:space="preserve">cross-backbone mean reported in the table above averages these zeros</w:t>
      </w:r>
      <w:r>
        <w:t xml:space="preserve"> </w:t>
      </w:r>
      <w:r>
        <w:t xml:space="preserve">together with successful fits.</w:t>
      </w:r>
    </w:p>
    <w:p>
      <w:pPr>
        <w:pStyle w:val="BodyText"/>
      </w:pPr>
      <w:r>
        <w:t xml:space="preserve">Excluding zero cells from the per-backbone means yields V8 0.431</w:t>
      </w:r>
      <w:r>
        <w:t xml:space="preserve"> </w:t>
      </w:r>
      <w:r>
        <w:t xml:space="preserve">(unchanged — V8 has no degenerate cells), V20 0.408 (</w:t>
      </w:r>
      <m:oMath>
        <m:r>
          <m:rPr>
            <m:sty m:val="p"/>
          </m:rPr>
          <m:t>+</m:t>
        </m:r>
        <m:r>
          <m:t>0.011</m:t>
        </m:r>
      </m:oMath>
      <w:r>
        <w:t xml:space="preserve">, one</w:t>
      </w:r>
      <w:r>
        <w:t xml:space="preserve"> </w:t>
      </w:r>
      <w:r>
        <w:t xml:space="preserve">ProdLDA zero on Indian Pines), V11 0.382 (</w:t>
      </w:r>
      <m:oMath>
        <m:r>
          <m:rPr>
            <m:sty m:val="p"/>
          </m:rPr>
          <m:t>+</m:t>
        </m:r>
        <m:r>
          <m:t>0.012</m:t>
        </m:r>
      </m:oMath>
      <w:r>
        <w:t xml:space="preserve">), V12 0.393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0.023</m:t>
        </m:r>
      </m:oMath>
      <w:r>
        <w:t xml:space="preserve">). V8 retains cross-backbone leadership under either</w:t>
      </w:r>
      <w:r>
        <w:t xml:space="preserve"> </w:t>
      </w:r>
      <w:r>
        <w:t xml:space="preserve">treatment of zeros. The full convergence audit per (backbone, recipe,</w:t>
      </w:r>
      <w:r>
        <w:t xml:space="preserve"> </w:t>
      </w:r>
      <w:r>
        <w:t xml:space="preserve">scene) cell is in the reproducibility audit (issue #764).</w:t>
      </w:r>
    </w:p>
    <w:p>
      <w:pPr>
        <w:pStyle w:val="BodyText"/>
      </w:pPr>
      <w:r>
        <w:rPr>
          <w:b/>
          <w:bCs/>
        </w:rPr>
        <w:t xml:space="preserve">V8 (NFINDR endmember-fraction)</w:t>
      </w:r>
      <w:r>
        <w:t xml:space="preserve"> </w:t>
      </w:r>
      <w:r>
        <w:t xml:space="preserve">is the most cross-backbone-</w:t>
      </w:r>
      <w:r>
        <w:t xml:space="preserve"> </w:t>
      </w:r>
      <w:r>
        <w:t xml:space="preserve">consistent recipe at mean F-7 NMI</w:t>
      </w:r>
      <w:r>
        <w:t xml:space="preserve"> </w:t>
      </w:r>
      <m:oMath>
        <m:r>
          <m:rPr>
            <m:sty m:val="p"/>
          </m:rPr>
          <m:t>=</m:t>
        </m:r>
        <m:r>
          <m:t>0.431</m:t>
        </m:r>
      </m:oMath>
      <w:r>
        <w:t xml:space="preserve">; it lands top-5 under</w:t>
      </w:r>
      <w:r>
        <w:t xml:space="preserve"> </w:t>
      </w:r>
      <w:r>
        <w:t xml:space="preserve">every backbone without winning any outright and has the smallest</w:t>
      </w:r>
      <w:r>
        <w:t xml:space="preserve"> </w:t>
      </w:r>
      <w:r>
        <w:t xml:space="preserve">standard deviation across the four backbones (</w:t>
      </w:r>
      <m:oMath>
        <m:r>
          <m:t>σ</m:t>
        </m:r>
        <m:r>
          <m:rPr>
            <m:sty m:val="p"/>
          </m:rPr>
          <m:t>=</m:t>
        </m:r>
        <m:r>
          <m:t>0.06</m:t>
        </m:r>
      </m:oMath>
      <w:r>
        <w:t xml:space="preserve">). V20</w:t>
      </w:r>
      <w:r>
        <w:t xml:space="preserve"> </w:t>
      </w:r>
      <w:r>
        <w:t xml:space="preserve">is the second-most consistent at</w:t>
      </w:r>
      <w:r>
        <w:t xml:space="preserve"> </w:t>
      </w:r>
      <m:oMath>
        <m:r>
          <m:t>0.397</m:t>
        </m:r>
      </m:oMath>
      <w:r>
        <w:t xml:space="preserve">, retaining LDA strength</w:t>
      </w:r>
      <w:r>
        <w:t xml:space="preserve"> </w:t>
      </w:r>
      <w:r>
        <w:t xml:space="preserve">(</w:t>
      </w:r>
      <m:oMath>
        <m:r>
          <m:t>0.520</m:t>
        </m:r>
      </m:oMath>
      <w:r>
        <w:t xml:space="preserve">) and tying V12 on ETM (</w:t>
      </w:r>
      <m:oMath>
        <m:r>
          <m:t>0.490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0.488</m:t>
        </m:r>
      </m:oMath>
      <w:r>
        <w:t xml:space="preserve">; V11 leads ETM at</w:t>
      </w:r>
      <w:r>
        <w:t xml:space="preserve"> </w:t>
      </w:r>
      <m:oMath>
        <m:r>
          <m:t>0.530</m:t>
        </m:r>
      </m:oMath>
      <w:r>
        <w:t xml:space="preserve">). V11 (product</w:t>
      </w:r>
      <w:r>
        <w:t xml:space="preserve"> </w:t>
      </w:r>
      <w:r>
        <w:t xml:space="preserve">quantisation, vocab</w:t>
      </w:r>
      <w:r>
        <w:t xml:space="preserve"> </w:t>
      </w:r>
      <m:oMath>
        <m:r>
          <m:t>M</m:t>
        </m:r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32</m:t>
        </m:r>
      </m:oMath>
      <w:r>
        <w:t xml:space="preserve">) wins HDP and ETM outright but</w:t>
      </w:r>
      <w:r>
        <w:t xml:space="preserve"> </w:t>
      </w:r>
      <w:r>
        <w:t xml:space="preserve">collapses under LDA and ProdLDA — a backbone-specialist profile.</w:t>
      </w:r>
      <w:r>
        <w:t xml:space="preserve"> </w:t>
      </w:r>
      <w:r>
        <w:t xml:space="preserve">V20’s interpretability advantage relative to V8 and V11 is that it</w:t>
      </w:r>
      <w:r>
        <w:t xml:space="preserve"> </w:t>
      </w:r>
      <w:r>
        <w:t xml:space="preserve">is the only</w:t>
      </w:r>
      <w:r>
        <w:t xml:space="preserve"> </w:t>
      </w:r>
      <w:r>
        <w:rPr>
          <w:i/>
          <w:iCs/>
        </w:rPr>
        <w:t xml:space="preserve">label-aware</w:t>
      </w:r>
      <w:r>
        <w:t xml:space="preserve"> </w:t>
      </w:r>
      <w:r>
        <w:t xml:space="preserve">recipe in the consistently-strong</w:t>
      </w:r>
      <w:r>
        <w:t xml:space="preserve"> </w:t>
      </w:r>
      <w:r>
        <w:t xml:space="preserve">family; V8 and V11 are label-unaware compressions of the spectrum.</w:t>
      </w:r>
      <w:r>
        <w:t xml:space="preserve"> </w:t>
      </w:r>
      <w:r>
        <w:t xml:space="preserve">The cross-backbone story is therefore not</w:t>
      </w:r>
      <w:r>
        <w:t xml:space="preserve"> </w:t>
      </w:r>
      <w:r>
        <w:t xml:space="preserve">“one recipe wins</w:t>
      </w:r>
      <w:r>
        <w:t xml:space="preserve"> </w:t>
      </w:r>
      <w:r>
        <w:t xml:space="preserve">everywhere”</w:t>
      </w:r>
      <w:r>
        <w:t xml:space="preserve"> </w:t>
      </w:r>
      <w:r>
        <w:t xml:space="preserve">but</w:t>
      </w:r>
      <w:r>
        <w:t xml:space="preserve"> </w:t>
      </w:r>
      <w:r>
        <w:t xml:space="preserve">“three recipes lead under different priors, all</w:t>
      </w:r>
      <w:r>
        <w:t xml:space="preserve"> </w:t>
      </w:r>
      <w:r>
        <w:t xml:space="preserve">above the canonical V1 baseline”</w:t>
      </w:r>
      <w:r>
        <w:t xml:space="preserve">.</w:t>
      </w:r>
    </w:p>
    <w:bookmarkEnd w:id="68"/>
    <w:bookmarkStart w:id="69" w:name="hdp-backbone-at-q16."/>
    <w:p>
      <w:pPr>
        <w:pStyle w:val="Heading4"/>
      </w:pPr>
      <w:r>
        <w:t xml:space="preserve">HDP backbone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FirstParagraph"/>
      </w:pPr>
      <w:r>
        <w:t xml:space="preserve">Re-running HDP F-7 NMI for the</w:t>
      </w:r>
      <w:r>
        <w:t xml:space="preserve"> </w:t>
      </w:r>
      <w:r>
        <w:t xml:space="preserve">top-3 contenders at the finer quantisation level reveals that V8’s</w:t>
      </w:r>
      <w:r>
        <w:t xml:space="preserve"> </w:t>
      </w:r>
      <w:r>
        <w:t xml:space="preserve">cross-backbone dominance is preserved under quantisation refinement:</w:t>
      </w:r>
      <w:r>
        <w:t xml:space="preserve"> </w:t>
      </w:r>
      <w:r>
        <w:t xml:space="preserve">HDP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gives V8</w:t>
      </w:r>
      <w:r>
        <w:t xml:space="preserve"> </w:t>
      </w:r>
      <m:oMath>
        <m:r>
          <m:t>0.454</m:t>
        </m:r>
      </m:oMath>
      <w:r>
        <w:t xml:space="preserve">, V20</w:t>
      </w:r>
      <w:r>
        <w:t xml:space="preserve"> </w:t>
      </w:r>
      <m:oMath>
        <m:r>
          <m:t>0.403</m:t>
        </m:r>
      </m:oMath>
      <w:r>
        <w:t xml:space="preserve">, V2</w:t>
      </w:r>
      <w:r>
        <w:t xml:space="preserve"> </w:t>
      </w:r>
      <m:oMath>
        <m:r>
          <m:t>0.249</m:t>
        </m:r>
      </m:oMath>
      <w:r>
        <w:t xml:space="preserve">, mirroring the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HDP ranking (</w:t>
      </w:r>
      <m:oMath>
        <m:r>
          <m:t>V</m:t>
        </m:r>
        <m:r>
          <m:t>8</m:t>
        </m:r>
        <m:r>
          <m:rPr>
            <m:sty m:val="p"/>
          </m:rPr>
          <m:t>=</m:t>
        </m:r>
        <m:r>
          <m:t>0.451</m:t>
        </m:r>
      </m:oMath>
      <w:r>
        <w:t xml:space="preserve">,</w:t>
      </w:r>
      <w:r>
        <w:t xml:space="preserve"> </w:t>
      </w:r>
      <m:oMath>
        <m:r>
          <m:t>V</m:t>
        </m:r>
        <m:r>
          <m:t>20</m:t>
        </m:r>
        <m:r>
          <m:rPr>
            <m:sty m:val="p"/>
          </m:rPr>
          <m:t>=</m:t>
        </m:r>
        <m:r>
          <m:t>0.356</m:t>
        </m:r>
      </m:oMath>
      <w:r>
        <w:t xml:space="preserve">, V2</w:t>
      </w:r>
      <w:r>
        <w:t xml:space="preserve"> </w:t>
      </w:r>
      <m:oMath>
        <m:r>
          <m:t>0.347</m:t>
        </m:r>
      </m:oMath>
      <w:r>
        <w:t xml:space="preserve">). V8’s</w:t>
      </w:r>
      <w:r>
        <w:t xml:space="preserve"> </w:t>
      </w:r>
      <w:r>
        <w:t xml:space="preserve">endmember-fraction vocabulary is robust both across topic-model</w:t>
      </w:r>
      <w:r>
        <w:t xml:space="preserve"> </w:t>
      </w:r>
      <w:r>
        <w:t xml:space="preserve">priors and across quantisation levels, while V20’s gains from finer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LDA-specific.</w:t>
      </w:r>
    </w:p>
    <w:bookmarkEnd w:id="69"/>
    <w:bookmarkStart w:id="70" w:name="etm-backbone-at-q16."/>
    <w:p>
      <w:pPr>
        <w:pStyle w:val="Heading4"/>
      </w:pPr>
      <w:r>
        <w:t xml:space="preserve">ETM backbone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FirstParagraph"/>
      </w:pPr>
      <w:r>
        <w:t xml:space="preserve">Under the embedded topic model</w:t>
      </w:r>
      <w:r>
        <w:t xml:space="preserve"> </w:t>
      </w:r>
      <w:r>
        <w:t xml:space="preserve">backbone, the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ranking inverts: V20</w:t>
      </w:r>
      <w:r>
        <w:t xml:space="preserve"> </w:t>
      </w:r>
      <m:oMath>
        <m:r>
          <m:t>0.525</m:t>
        </m:r>
      </m:oMath>
      <w:r>
        <w:t xml:space="preserve">, V2</w:t>
      </w:r>
      <w:r>
        <w:t xml:space="preserve"> </w:t>
      </w:r>
      <m:oMath>
        <m:r>
          <m:t>0.492</m:t>
        </m:r>
      </m:oMath>
      <w:r>
        <w:t xml:space="preserve">, V8</w:t>
      </w:r>
      <w:r>
        <w:t xml:space="preserve"> </w:t>
      </w:r>
      <m:oMath>
        <m:r>
          <m:t>0.473</m:t>
        </m:r>
      </m:oMath>
      <w:r>
        <w:t xml:space="preserve">. The MI-weighted recipe now leads — ETM’s continuous</w:t>
      </w:r>
      <w:r>
        <w:t xml:space="preserve"> </w:t>
      </w:r>
      <w:r>
        <w:t xml:space="preserve">word-embedding prior allows V20’s label-aware weighting to translate</w:t>
      </w:r>
      <w:r>
        <w:t xml:space="preserve"> </w:t>
      </w:r>
      <w:r>
        <w:t xml:space="preserve">into separable topic embeddings, while V8’s fixed endmember vocabulary</w:t>
      </w:r>
      <w:r>
        <w:t xml:space="preserve"> </w:t>
      </w:r>
      <w:r>
        <w:t xml:space="preserve">maps to a less differentiated region of the embedding space.</w:t>
      </w:r>
    </w:p>
    <w:bookmarkEnd w:id="70"/>
    <w:bookmarkStart w:id="71" w:name="prodlda-backbone-at-q16."/>
    <w:p>
      <w:pPr>
        <w:pStyle w:val="Heading4"/>
      </w:pPr>
      <w:r>
        <w:t xml:space="preserve">ProdLDA backbone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FirstParagraph"/>
      </w:pPr>
      <w:r>
        <w:t xml:space="preserve">The amortized variational</w:t>
      </w:r>
      <w:r>
        <w:t xml:space="preserve"> </w:t>
      </w:r>
      <w:r>
        <w:t xml:space="preserve">backbone reverses again: V8</w:t>
      </w:r>
      <w:r>
        <w:t xml:space="preserve"> </w:t>
      </w:r>
      <m:oMath>
        <m:r>
          <m:t>0.359</m:t>
        </m:r>
      </m:oMath>
      <w:r>
        <w:t xml:space="preserve">, V2</w:t>
      </w:r>
      <w:r>
        <w:t xml:space="preserve"> </w:t>
      </w:r>
      <m:oMath>
        <m:r>
          <m:t>0.335</m:t>
        </m:r>
      </m:oMath>
      <w:r>
        <w:t xml:space="preserve">, V20</w:t>
      </w:r>
      <w:r>
        <w:t xml:space="preserve"> </w:t>
      </w:r>
      <m:oMath>
        <m:r>
          <m:t>0.223</m:t>
        </m:r>
      </m:oMath>
      <w:r>
        <w:t xml:space="preserve"> </w:t>
      </w:r>
      <w:r>
        <w:t xml:space="preserve">— V20</w:t>
      </w:r>
      <w:r>
        <w:t xml:space="preserve"> </w:t>
      </w:r>
      <w:r>
        <w:t xml:space="preserve">collapses under ProdLDA’s Dirichlet-Logistic-Normal reparametrisation,</w:t>
      </w:r>
      <w:r>
        <w:t xml:space="preserve"> </w:t>
      </w:r>
      <w:r>
        <w:t xml:space="preserve">which penalises the long-tailed band emission distribution V20</w:t>
      </w:r>
      <w:r>
        <w:t xml:space="preserve"> </w:t>
      </w:r>
      <w:r>
        <w:t xml:space="preserve">produces in low-MI regions.</w:t>
      </w:r>
    </w:p>
    <w:bookmarkEnd w:id="71"/>
    <w:bookmarkStart w:id="72" w:name="cross-backbone-mean-f-7-at-q16."/>
    <w:p>
      <w:pPr>
        <w:pStyle w:val="Heading4"/>
      </w:pPr>
      <w:r>
        <w:t xml:space="preserve">Cross-backbone mean F-7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FirstParagraph"/>
      </w:pPr>
      <w:r>
        <w:t xml:space="preserve">Averaging across the</w:t>
      </w:r>
      <w:r>
        <w:t xml:space="preserve"> </w:t>
      </w:r>
      <w:r>
        <w:t xml:space="preserve">four backbones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0.390</w:t>
            </w:r>
          </w:p>
        </w:tc>
      </w:tr>
    </w:tbl>
    <w:p>
      <w:pPr>
        <w:pStyle w:val="BodyText"/>
      </w:pPr>
      <w:r>
        <w:rPr>
          <w:b/>
          <w:bCs/>
        </w:rPr>
        <w:t xml:space="preserve">V8 retains its cross-backbone leadership at</w:t>
      </w:r>
      <w:r>
        <w:rPr>
          <w:b/>
          <w:b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m:oMath>
        <m:r>
          <m:t>0.441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mean, ahead of V20’s</w:t>
      </w:r>
      <w:r>
        <w:rPr>
          <w:b/>
          <w:bCs/>
        </w:rPr>
        <w:t xml:space="preserve"> </w:t>
      </w:r>
      <m:oMath>
        <m:r>
          <m:t>0.421</m:t>
        </m:r>
      </m:oMath>
      <w:r>
        <w:rPr>
          <w:b/>
          <w:bCs/>
        </w:rPr>
        <w:t xml:space="preserve">)</w:t>
      </w:r>
      <w:r>
        <w:t xml:space="preserve">, but with a clear backbone-family</w:t>
      </w:r>
      <w:r>
        <w:t xml:space="preserve"> </w:t>
      </w:r>
      <w:r>
        <w:t xml:space="preserve">split: V8 leads under the non-amortized backbones (HDP, ProdLDA),</w:t>
      </w:r>
      <w:r>
        <w:t xml:space="preserve"> </w:t>
      </w:r>
      <w:r>
        <w:t xml:space="preserve">while V20 leads under the amortized embedding-prior backbones (LDA,</w:t>
      </w:r>
      <w:r>
        <w:t xml:space="preserve"> </w:t>
      </w:r>
      <w:r>
        <w:t xml:space="preserve">ETM). The backbone-recipe interaction is therefore non-trivial across</w:t>
      </w:r>
      <w:r>
        <w:t xml:space="preserve"> </w:t>
      </w:r>
      <m:oMath>
        <m:r>
          <m:t>Q</m:t>
        </m:r>
      </m:oMath>
      <w:r>
        <w:t xml:space="preserve">: the family of priors the practitioner commits to (Dirichlet</w:t>
      </w:r>
      <w:r>
        <w:t xml:space="preserve"> </w:t>
      </w:r>
      <w:r>
        <w:t xml:space="preserve">truncation, variational amortisation, continuous embedding) determines</w:t>
      </w:r>
      <w:r>
        <w:t xml:space="preserve"> </w:t>
      </w:r>
      <w:r>
        <w:t xml:space="preserve">whether label-aware weighting (V20) or geometric endmember decomposition</w:t>
      </w:r>
      <w:r>
        <w:t xml:space="preserve"> </w:t>
      </w:r>
      <w:r>
        <w:t xml:space="preserve">(V8) carries more signal.</w:t>
      </w:r>
    </w:p>
    <w:bookmarkEnd w:id="72"/>
    <w:bookmarkStart w:id="73" w:name="v8-monotonic-on-f-18-across-q."/>
    <w:p>
      <w:pPr>
        <w:pStyle w:val="Heading4"/>
      </w:pPr>
      <w:r>
        <w:t xml:space="preserve">V8 monotonic on F-18 across Q.</w:t>
      </w:r>
    </w:p>
    <w:p>
      <w:pPr>
        <w:pStyle w:val="FirstParagraph"/>
      </w:pPr>
      <w:r>
        <w:t xml:space="preserve">Extending F-18 to Q=16/32</w:t>
      </w:r>
      <w:r>
        <w:t xml:space="preserve"> </w:t>
      </w:r>
      <w:r>
        <w:t xml:space="preserve">on the V20 / V8 / V2 trio yields mean matched cosine across the six</w:t>
      </w:r>
      <w:r>
        <w:t xml:space="preserve"> </w:t>
      </w:r>
      <w:r>
        <w:t xml:space="preserve">labelled scenes: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Q=8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Q=16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Q=32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0.443</w:t>
            </w:r>
          </w:p>
        </w:tc>
      </w:tr>
    </w:tbl>
    <w:p>
      <w:pPr>
        <w:pStyle w:val="BodyText"/>
      </w:pPr>
      <w:r>
        <w:rPr>
          <w:b/>
          <w:bCs/>
        </w:rPr>
        <w:t xml:space="preserve">V8 stays above</w:t>
      </w:r>
      <w:r>
        <w:rPr>
          <w:b/>
          <w:bCs/>
        </w:rPr>
        <w:t xml:space="preserve"> </w:t>
      </w:r>
      <m:oMath>
        <m:r>
          <m:t>0.95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F-18 mean matched cosine</w:t>
      </w:r>
      <w:r>
        <w:rPr>
          <w:b/>
          <w:bCs/>
        </w:rPr>
        <w:t xml:space="preserve"> </w:t>
      </w:r>
      <w:r>
        <w:rPr>
          <w:b/>
          <w:bCs/>
        </w:rPr>
        <w:t xml:space="preserve">across all three Q levels</w:t>
      </w:r>
      <w:r>
        <w:t xml:space="preserve"> </w:t>
      </w:r>
      <w:r>
        <w:t xml:space="preserve">— the only recipe in the sweep whose</w:t>
      </w:r>
      <w:r>
        <w:t xml:space="preserve"> </w:t>
      </w:r>
      <w:r>
        <w:t xml:space="preserve">reseed reliability remains in the very-high regime under quantisation</w:t>
      </w:r>
      <w:r>
        <w:t xml:space="preserve"> </w:t>
      </w:r>
      <w:r>
        <w:t xml:space="preserve">refinement. The mechanism is geometric: the NFINDR endmember basis</w:t>
      </w:r>
      <w:r>
        <w:t xml:space="preserve"> </w:t>
      </w:r>
      <w:r>
        <w:t xml:space="preserve">is invariant under quantisation of the NNLS abundance fractions, so</w:t>
      </w:r>
      <w:r>
        <w:t xml:space="preserve"> </w:t>
      </w:r>
      <w:r>
        <w:t xml:space="preserve">finer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only sharpens the rank-ordering of fractions without</w:t>
      </w:r>
      <w:r>
        <w:t xml:space="preserve"> </w:t>
      </w:r>
      <w:r>
        <w:t xml:space="preserve">introducing new seed-dependent splits in the top-10 indicator vectors.</w:t>
      </w:r>
      <w:r>
        <w:t xml:space="preserve"> </w:t>
      </w:r>
      <w:r>
        <w:t xml:space="preserve">V20 stays in the informative-but-seed-sensitive regime (</w:t>
      </w:r>
      <m:oMath>
        <m:r>
          <m:rPr>
            <m:sty m:val="p"/>
          </m:rPr>
          <m:t>∼</m:t>
        </m:r>
        <m:r>
          <m:t>0.45</m:t>
        </m:r>
      </m:oMath>
      <w:r>
        <w:t xml:space="preserve">)</w:t>
      </w:r>
      <w:r>
        <w:t xml:space="preserve"> </w:t>
      </w:r>
      <w:r>
        <w:t xml:space="preserve">at every</w:t>
      </w:r>
      <w:r>
        <w:t xml:space="preserve"> </w:t>
      </w:r>
      <m:oMath>
        <m:r>
          <m:t>Q</m:t>
        </m:r>
      </m:oMath>
      <w:r>
        <w:t xml:space="preserve">, mirroring V12. V2 collapses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m:oMath>
        <m:r>
          <m:t>1.000</m:t>
        </m:r>
        <m:r>
          <m:rPr>
            <m:sty m:val="p"/>
          </m:rPr>
          <m:t>→</m:t>
        </m:r>
        <m:r>
          <m:t>0.875</m:t>
        </m:r>
        <m:r>
          <m:rPr>
            <m:sty m:val="p"/>
          </m:rPr>
          <m:t>→</m:t>
        </m:r>
        <m:r>
          <m:t>0.781</m:t>
        </m:r>
      </m:oMath>
      <w:r>
        <w:t xml:space="preserve">) as its vocabulary grows from 8 to 32 word types,</w:t>
      </w:r>
      <w:r>
        <w:t xml:space="preserve"> </w:t>
      </w:r>
      <w:r>
        <w:t xml:space="preserve">confirming that V2’s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reliability of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was the vocabulary-</w:t>
      </w:r>
      <w:r>
        <w:t xml:space="preserve"> </w:t>
      </w:r>
      <w:r>
        <w:t xml:space="preserve">size artefact previously flagged.</w:t>
      </w:r>
    </w:p>
    <w:p>
      <w:pPr>
        <w:pStyle w:val="BodyText"/>
      </w:pPr>
      <w:r>
        <w:t xml:space="preserve">This sharpens the recommendation:</w:t>
      </w:r>
      <w:r>
        <w:t xml:space="preserve"> </w:t>
      </w:r>
      <w:r>
        <w:rPr>
          <w:b/>
          <w:bCs/>
        </w:rPr>
        <w:t xml:space="preserve">V8 is the recipe of choice</w:t>
      </w:r>
      <w:r>
        <w:rPr>
          <w:b/>
          <w:bCs/>
        </w:rPr>
        <w:t xml:space="preserve"> </w:t>
      </w:r>
      <w:r>
        <w:rPr>
          <w:b/>
          <w:bCs/>
        </w:rPr>
        <w:t xml:space="preserve">when the topic-model backbone is uncertain or reseed reliability is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t xml:space="preserve">; V20 is the recipe of choice when LDA is fixed and one can</w:t>
      </w:r>
      <w:r>
        <w:t xml:space="preserve"> </w:t>
      </w:r>
      <w:r>
        <w:t xml:space="preserve">afford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16</m:t>
        </m:r>
      </m:oMath>
      <w:r>
        <w:t xml:space="preserve"> </w:t>
      </w:r>
      <w:r>
        <w:t xml:space="preserve">and accept the seed-sensitivity tradeoff.</w:t>
      </w:r>
    </w:p>
    <w:bookmarkEnd w:id="73"/>
    <w:bookmarkEnd w:id="74"/>
    <w:bookmarkEnd w:id="75"/>
    <w:bookmarkStart w:id="81" w:name="sec:affinities"/>
    <w:p>
      <w:pPr>
        <w:pStyle w:val="Heading1"/>
      </w:pPr>
      <w:r>
        <w:t xml:space="preserve">Five axis–recipe affinities</w:t>
      </w:r>
    </w:p>
    <w:p>
      <w:pPr>
        <w:pStyle w:val="FirstParagraph"/>
      </w:pPr>
      <w:r>
        <w:t xml:space="preserve">The completed nineteen-recipe sweep exposes five robust axis–recipe</w:t>
      </w:r>
      <w:r>
        <w:t xml:space="preserve"> </w:t>
      </w:r>
      <w:r>
        <w:t xml:space="preserve">affinities.</w:t>
      </w:r>
    </w:p>
    <w:bookmarkStart w:id="76" w:name="v3-vs.-f-7-topiclabel-coupling"/>
    <w:p>
      <w:pPr>
        <w:pStyle w:val="Heading2"/>
      </w:pPr>
      <w:r>
        <w:t xml:space="preserve">V3 vs. F-7 topic–label coupling</w:t>
      </w:r>
    </w:p>
    <w:p>
      <w:pPr>
        <w:pStyle w:val="FirstParagraph"/>
      </w:pPr>
      <w:r>
        <w:t xml:space="preserve">V3 (the joint (band, bin) vocabulary) wins F-7 NMI in four of the</w:t>
      </w:r>
      <w:r>
        <w:t xml:space="preserve"> </w:t>
      </w:r>
      <w:r>
        <w:t xml:space="preserve">five labelled scenes evaluated so far, with absolute gains of</w:t>
      </w:r>
      <w:r>
        <w:t xml:space="preserve"> </w:t>
      </w:r>
      <m:oMath>
        <m:r>
          <m:t>0.05</m:t>
        </m:r>
      </m:oMath>
      <w:r>
        <w:t xml:space="preserve">–</w:t>
      </w:r>
      <m:oMath>
        <m:r>
          <m:t>0.13</m:t>
        </m:r>
      </m:oMath>
      <w:r>
        <w:t xml:space="preserve"> </w:t>
      </w:r>
      <w:r>
        <w:t xml:space="preserve">over V1. The mechanism is straightforward: V3 carries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word types (1600 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) versus V1’s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w:r>
        <w:t xml:space="preserve">the larger vocabulary lets a single topic concentrate on the</w:t>
      </w:r>
      <w:r>
        <w:t xml:space="preserve"> </w:t>
      </w:r>
      <w:r>
        <w:t xml:space="preserve">intensity-specific band signatures that map cleanly onto land-cover</w:t>
      </w:r>
      <w:r>
        <w:t xml:space="preserve"> </w:t>
      </w:r>
      <w:r>
        <w:t xml:space="preserve">classes. Whether this generalises to F-1 macro-F1 is the question the</w:t>
      </w:r>
      <w:r>
        <w:t xml:space="preserve"> </w:t>
      </w:r>
      <w:r>
        <w:t xml:space="preserve">running sweep answers.</w:t>
      </w:r>
    </w:p>
    <w:bookmarkEnd w:id="76"/>
    <w:bookmarkStart w:id="77" w:name="v12-vs.-f-2-coherence-on-dense-regimes"/>
    <w:p>
      <w:pPr>
        <w:pStyle w:val="Heading2"/>
      </w:pPr>
      <w:r>
        <w:t xml:space="preserve">V12 vs. F-2 coherence on dense regimes</w:t>
      </w:r>
    </w:p>
    <w:p>
      <w:pPr>
        <w:pStyle w:val="FirstParagraph"/>
      </w:pPr>
      <w:r>
        <w:t xml:space="preserve">V12 (Gaussian-mixture-component tokens) wins F-2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 Indian Pines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0.79</m:t>
        </m:r>
      </m:oMath>
      <w:r>
        <w:t xml:space="preserve"> </w:t>
      </w:r>
      <w:r>
        <w:t xml:space="preserve">vs. V1’s 0.32) and is competitive on the other dense</w:t>
      </w:r>
      <w:r>
        <w:t xml:space="preserve"> </w:t>
      </w:r>
      <w:r>
        <w:t xml:space="preserve">scenes. The intuition: GMM boundaries flex with the data distribution</w:t>
      </w:r>
      <w:r>
        <w:t xml:space="preserve"> </w:t>
      </w:r>
      <w:r>
        <w:t xml:space="preserve">rather than partitioning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uniformly, so quantisation noise is</w:t>
      </w:r>
      <w:r>
        <w:t xml:space="preserve"> </w:t>
      </w:r>
      <w:r>
        <w:t xml:space="preserve">lower. This shows up as more coherent topic–word distributions.</w:t>
      </w:r>
    </w:p>
    <w:bookmarkEnd w:id="77"/>
    <w:bookmarkStart w:id="78" w:name="subsec:v20-affinity"/>
    <w:p>
      <w:pPr>
        <w:pStyle w:val="Heading2"/>
      </w:pPr>
      <w:r>
        <w:t xml:space="preserve">V20 vs. F-7 label-information-rich scenes</w:t>
      </w:r>
    </w:p>
    <w:p>
      <w:pPr>
        <w:pStyle w:val="FirstParagraph"/>
      </w:pPr>
      <w:r>
        <w:t xml:space="preserve">V20 (MI-weighted bands) wins F-7 on Indian Pines (0.44, the most</w:t>
      </w:r>
      <w:r>
        <w:t xml:space="preserve"> </w:t>
      </w:r>
      <w:r>
        <w:t xml:space="preserve">class-imbalanced scene), ties V3 on Salinas-A (0.68, the most</w:t>
      </w:r>
      <w:r>
        <w:t xml:space="preserve"> </w:t>
      </w:r>
      <w:r>
        <w:t xml:space="preserve">spectrally-separated scene), and matches V12 to within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NMI mean</w:t>
      </w:r>
      <w:r>
        <w:t xml:space="preserve"> </w:t>
      </w:r>
      <w:r>
        <w:t xml:space="preserve">across the rest of the panel. The mechanism is mechanically traceable:</w:t>
      </w:r>
      <w:r>
        <w:t xml:space="preserve"> </w:t>
      </w:r>
      <w:r>
        <w:t xml:space="preserve">on scenes where a small subset of bands carries the bulk of label</w:t>
      </w:r>
      <w:r>
        <w:t xml:space="preserve"> </w:t>
      </w:r>
      <w:r>
        <w:t xml:space="preserve">information (Indian Pines: 30 of 200 corrected bands above MI = 0.5),</w:t>
      </w:r>
      <w:r>
        <w:t xml:space="preserve"> </w:t>
      </w:r>
      <w:r>
        <w:t xml:space="preserve">the V1 recipe wastes capacity emitting equally-weighted tokens on</w:t>
      </w:r>
      <w:r>
        <w:t xml:space="preserve"> </w:t>
      </w:r>
      <w:r>
        <w:t xml:space="preserve">near-zero-MI bands. V20 amplifies the informative bands by re-emitting</w:t>
      </w:r>
      <w:r>
        <w:t xml:space="preserve"> </w:t>
      </w:r>
      <w:r>
        <w:t xml:space="preserve">their (band, q-bin) token</w:t>
      </w:r>
      <w:r>
        <w:t xml:space="preserve"> </w:t>
      </w:r>
      <m:oMath>
        <m:sSub>
          <m:e>
            <m:r>
              <m:t>w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times, effectively concentrating the</w:t>
      </w:r>
      <w:r>
        <w:t xml:space="preserve"> </w:t>
      </w:r>
      <w:r>
        <w:t xml:space="preserve">LDA likelihood on the discriminative subspectrum. The recipe is</w:t>
      </w:r>
      <w:r>
        <w:t xml:space="preserve"> </w:t>
      </w:r>
      <w:r>
        <w:t xml:space="preserve">parameterised by a single integer (</w:t>
      </w:r>
      <w:r>
        <w:rPr>
          <w:rStyle w:val="VerbatimChar"/>
        </w:rPr>
        <w:t xml:space="preserve">MAX_COPIES</w:t>
      </w:r>
      <w:r>
        <w:t xml:space="preserve"> </w:t>
      </w:r>
      <m:oMath>
        <m:r>
          <m:rPr>
            <m:sty m:val="p"/>
          </m:rPr>
          <m:t>=</m:t>
        </m:r>
        <m:r>
          <m:t>8</m:t>
        </m:r>
      </m:oMath>
      <w:r>
        <w:t xml:space="preserve">) and</w:t>
      </w:r>
      <w:r>
        <w:t xml:space="preserve"> </w:t>
      </w:r>
      <w:r>
        <w:t xml:space="preserve">adds no per-fit cost — the MI estimate is computed once per scene.</w:t>
      </w:r>
    </w:p>
    <w:bookmarkEnd w:id="78"/>
    <w:bookmarkStart w:id="79" w:name="subsec:v18-affinity"/>
    <w:p>
      <w:pPr>
        <w:pStyle w:val="Heading2"/>
      </w:pPr>
      <w:r>
        <w:t xml:space="preserve">V18 vs. F-2 on manifold-shaped scenes</w:t>
      </w:r>
    </w:p>
    <w:p>
      <w:pPr>
        <w:pStyle w:val="FirstParagraph"/>
      </w:pPr>
      <w:r>
        <w:t xml:space="preserve">V18 (graph-Laplacian eigenvectors) is the highest-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recipe among</w:t>
      </w:r>
      <w:r>
        <w:t xml:space="preserve"> </w:t>
      </w:r>
      <w:r>
        <w:t xml:space="preserve">the V13–V20 extension on Pavia U 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0.66</m:t>
        </m:r>
      </m:oMath>
      <w:r>
        <w:t xml:space="preserve">), and places third on</w:t>
      </w:r>
      <w:r>
        <w:t xml:space="preserve"> </w:t>
      </w:r>
      <w:r>
        <w:t xml:space="preserve">F-7 mean (0.43 NMI). The intuition: scenes whose labelled classes</w:t>
      </w:r>
      <w:r>
        <w:t xml:space="preserve"> </w:t>
      </w:r>
      <w:r>
        <w:t xml:space="preserve">correspond to connected regions in the pixel-similarity graph (urban</w:t>
      </w:r>
      <w:r>
        <w:t xml:space="preserve"> </w:t>
      </w:r>
      <w:r>
        <w:t xml:space="preserve">land-cover types in Pavia, agricultural fields in Salinas) yield</w:t>
      </w:r>
      <w:r>
        <w:t xml:space="preserve"> </w:t>
      </w:r>
      <w:r>
        <w:t xml:space="preserve">informative Laplacian eigenvectors whose low frequencies group those</w:t>
      </w:r>
      <w:r>
        <w:t xml:space="preserve"> </w:t>
      </w:r>
      <w:r>
        <w:t xml:space="preserve">regions. Bin-tokens over those eigenvectors then carry segmentation</w:t>
      </w:r>
      <w:r>
        <w:t xml:space="preserve"> </w:t>
      </w:r>
      <w:r>
        <w:t xml:space="preserve">semantics that LDA can fit topics around. The result is a recipe that</w:t>
      </w:r>
      <w:r>
        <w:t xml:space="preserve"> </w:t>
      </w:r>
      <w:r>
        <w:t xml:space="preserve">explicitly exposes the manifold structure to the topic model.</w:t>
      </w:r>
    </w:p>
    <w:bookmarkEnd w:id="79"/>
    <w:bookmarkStart w:id="80" w:name="Xf8ff79f47f48ebb6c242a2542d9ca49a5025e28"/>
    <w:p>
      <w:pPr>
        <w:pStyle w:val="Heading2"/>
      </w:pPr>
      <w:r>
        <w:t xml:space="preserve">V7 vs. F-9 HIDSAG cross-preprocessing</w:t>
      </w:r>
      <w:r>
        <w:t xml:space="preserve"> </w:t>
      </w:r>
      <w:r>
        <w:t xml:space="preserve">(pending)</w:t>
      </w:r>
    </w:p>
    <w:p>
      <w:pPr>
        <w:pStyle w:val="FirstParagraph"/>
      </w:pPr>
      <w:r>
        <w:t xml:space="preserve">Pending the HIDSAG sweep; cited as a fifth predicted affinity from the</w:t>
      </w:r>
      <w:r>
        <w:t xml:space="preserve"> </w:t>
      </w:r>
      <w:r>
        <w:t xml:space="preserve">hypothesis cards. V7 is the most chemistry-faithful recipe (centroid,</w:t>
      </w:r>
      <w:r>
        <w:t xml:space="preserve"> </w:t>
      </w:r>
      <w:r>
        <w:t xml:space="preserve">depth, area triplets) and the expectation is that it dominates on the</w:t>
      </w:r>
      <w:r>
        <w:t xml:space="preserve"> </w:t>
      </w:r>
      <w:r>
        <w:t xml:space="preserve">HIDSAG mineralogical subsets where USGS-library matching is the gold</w:t>
      </w:r>
      <w:r>
        <w:t xml:space="preserve"> </w:t>
      </w:r>
      <w:r>
        <w:t xml:space="preserve">standard.</w:t>
      </w:r>
    </w:p>
    <w:bookmarkEnd w:id="80"/>
    <w:bookmarkEnd w:id="81"/>
    <w:bookmarkStart w:id="82" w:name="sec:recommendation"/>
    <w:p>
      <w:pPr>
        <w:pStyle w:val="Heading1"/>
      </w:pPr>
      <w:r>
        <w:t xml:space="preserve">Recommendation: V1 as canonical default, not universal best</w:t>
      </w:r>
    </w:p>
    <w:p>
      <w:pPr>
        <w:pStyle w:val="FirstParagraph"/>
      </w:pPr>
      <w:r>
        <w:t xml:space="preserve">The preliminary sweep already supports a sharper statement about V1’s</w:t>
      </w:r>
      <w:r>
        <w:t xml:space="preserve"> </w:t>
      </w:r>
      <w:r>
        <w:t xml:space="preserve">role: V1 should remain canonical as a</w:t>
      </w:r>
      <w:r>
        <w:t xml:space="preserve"> </w:t>
      </w:r>
      <w:r>
        <w:rPr>
          <w:i/>
          <w:iCs/>
        </w:rPr>
        <w:t xml:space="preserve">reproducibility default</w:t>
      </w:r>
      <w:r>
        <w:t xml:space="preserve"> </w:t>
      </w:r>
      <w:r>
        <w:t xml:space="preserve">(deterministic, dense, well-understood, and what every prior LDA-on-HSI</w:t>
      </w:r>
      <w:r>
        <w:t xml:space="preserve"> </w:t>
      </w:r>
      <w:r>
        <w:t xml:space="preserve">paper has used) but should not be claimed as a universal best. P1’s</w:t>
      </w:r>
      <w:r>
        <w:t xml:space="preserve"> </w:t>
      </w:r>
      <w:r>
        <w:t xml:space="preserve">framework results, computed on V1, are stable benchmarks; a future</w:t>
      </w:r>
      <w:r>
        <w:t xml:space="preserve"> </w:t>
      </w:r>
      <w:r>
        <w:t xml:space="preserve">study comparing V1 against, say, V3 or V12 on F-7 would need to refit.</w:t>
      </w:r>
      <w:r>
        <w:t xml:space="preserve"> </w:t>
      </w:r>
      <w:r>
        <w:t xml:space="preserve">The proposed convention is to report every framework result against</w:t>
      </w:r>
      <w:r>
        <w:t xml:space="preserve"> </w:t>
      </w:r>
      <w:r>
        <w:t xml:space="preserve">V1 alongside the per-axis best recipe.</w:t>
      </w:r>
    </w:p>
    <w:bookmarkEnd w:id="82"/>
    <w:bookmarkStart w:id="83" w:name="sec:limitations"/>
    <w:p>
      <w:pPr>
        <w:pStyle w:val="Heading1"/>
      </w:pPr>
      <w:r>
        <w:t xml:space="preserve">Limitations and future work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V11 reproducibility</w:t>
      </w:r>
      <w:r>
        <w:t xml:space="preserve">: the current implementation does</w:t>
      </w:r>
      <w:r>
        <w:t xml:space="preserve"> </w:t>
      </w:r>
      <w:r>
        <w:t xml:space="preserve">not pin a random seed for the nanopq codebook fit. V11 sweep</w:t>
      </w:r>
      <w:r>
        <w:t xml:space="preserve"> </w:t>
      </w:r>
      <w:r>
        <w:t xml:space="preserve">results in this manuscript should therefore be regarded as</w:t>
      </w:r>
      <w:r>
        <w:t xml:space="preserve"> </w:t>
      </w:r>
      <w:r>
        <w:t xml:space="preserve">point-in-time until the seed is pinned and the cell re-evaluated.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dense recipes</w:t>
      </w:r>
      <w:r>
        <w:t xml:space="preserve">: V1 (and any other recipe</w:t>
      </w:r>
      <w:r>
        <w:t xml:space="preserve"> </w:t>
      </w:r>
      <w:r>
        <w:t xml:space="preserve">with mean doc length close to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) produces a degenerate</w:t>
      </w:r>
      <w:r>
        <w:t xml:space="preserve"> </w:t>
      </w:r>
      <w:r>
        <w:t xml:space="preserve">pixel-as-document NPMI because every word fires in every document.</w:t>
      </w:r>
      <w:r>
        <w:t xml:space="preserve"> </w:t>
      </w:r>
      <w:r>
        <w:t xml:space="preserve">A sliding-window estimator would yield comparable numbers; we</w:t>
      </w:r>
      <w:r>
        <w:t xml:space="preserve"> </w:t>
      </w:r>
      <w:r>
        <w:t xml:space="preserve">leave that to a follow-up.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F-3 / F-4 / F-5 / F-8 / F-9 / F-10 / F-11 / F-12</w:t>
      </w:r>
      <w:r>
        <w:rPr>
          <w:b/>
          <w:bCs/>
        </w:rPr>
        <w:t xml:space="preserve"> </w:t>
      </w:r>
      <w:r>
        <w:rPr>
          <w:b/>
          <w:bCs/>
        </w:rPr>
        <w:t xml:space="preserve">sweeps deferred</w:t>
      </w:r>
      <w:r>
        <w:t xml:space="preserve">: this manuscript closes once F-1, F-2 and F-7</w:t>
      </w:r>
      <w:r>
        <w:t xml:space="preserve"> </w:t>
      </w:r>
      <w:r>
        <w:t xml:space="preserve">are populated for all 19 V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 scenes. The remaining axes</w:t>
      </w:r>
      <w:r>
        <w:t xml:space="preserve"> </w:t>
      </w:r>
      <w:r>
        <w:t xml:space="preserve">are tracked as separate work and will appear either as an</w:t>
      </w:r>
      <w:r>
        <w:t xml:space="preserve"> </w:t>
      </w:r>
      <w:r>
        <w:t xml:space="preserve">extension of this paper or as a follow-up.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V16 foundation-model embeddings deferred</w:t>
      </w:r>
      <w:r>
        <w:t xml:space="preserve">: V16 is</w:t>
      </w:r>
      <w:r>
        <w:t xml:space="preserve"> </w:t>
      </w:r>
      <w:r>
        <w:t xml:space="preserve">reserved for a foundation-model wordification (HyperSIGMA,</w:t>
      </w:r>
      <w:r>
        <w:t xml:space="preserve"> </w:t>
      </w:r>
      <w:r>
        <w:t xml:space="preserve">HyperspectralMAE, or SatMAE) that embeds each pixel into a learnt</w:t>
      </w:r>
      <w:r>
        <w:t xml:space="preserve"> </w:t>
      </w:r>
      <w:r>
        <w:t xml:space="preserve">latent space and quantises that into LDA tokens. Building V16</w:t>
      </w:r>
      <w:r>
        <w:t xml:space="preserve"> </w:t>
      </w:r>
      <w:r>
        <w:t xml:space="preserve">requires GPU inference at scene scale, which is beyond the</w:t>
      </w:r>
      <w:r>
        <w:t xml:space="preserve"> </w:t>
      </w:r>
      <w:r>
        <w:t xml:space="preserve">single-node budget of this manuscript. We expect V16 to set the</w:t>
      </w:r>
      <w:r>
        <w:t xml:space="preserve"> </w:t>
      </w:r>
      <w:r>
        <w:t xml:space="preserve">upper bound for F-7 NMI on the panel and have left the V16 slot</w:t>
      </w:r>
      <w:r>
        <w:t xml:space="preserve"> </w:t>
      </w:r>
      <w:r>
        <w:t xml:space="preserve">open in the recipe index for the follow-up.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Backbone extensions partial</w:t>
      </w:r>
      <w:r>
        <w:t xml:space="preserve">: the LDA-vs-HDP factorial</w:t>
      </w:r>
      <w:r>
        <w:t xml:space="preserve"> </w:t>
      </w:r>
      <w:r>
        <w:t xml:space="preserve">in §</w:t>
      </w:r>
      <w:hyperlink w:anchor="sec:extensions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covers V1, V3, V7, V11, V12. ProdLDA</w:t>
      </w:r>
      <w:r>
        <w:t xml:space="preserve"> </w:t>
      </w:r>
      <w:r>
        <w:t xml:space="preserve">(Pyro) and ETM (PyTorch) factorial runs are reported per-cell in</w:t>
      </w:r>
      <w:r>
        <w:t xml:space="preserve"> </w:t>
      </w:r>
      <w:r>
        <w:t xml:space="preserve">the supplementary materials. Full coverage of the V13–V20</w:t>
      </w:r>
      <w:r>
        <w:t xml:space="preserve"> </w:t>
      </w:r>
      <w:r>
        <w:t xml:space="preserve">extension under all four backbones is left to the follow-up.</w:t>
      </w:r>
    </w:p>
    <w:bookmarkEnd w:id="83"/>
    <w:bookmarkStart w:id="84" w:name="app:full-matrix"/>
    <w:p>
      <w:pPr>
        <w:pStyle w:val="Heading1"/>
      </w:pPr>
      <w:r>
        <w:t xml:space="preserve">Full nineteen-recipe F-2 and F-7 matrices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</w:tbl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fsantibanezleal@ug.uchile.cl</w:t>
      </w:r>
      <w:r>
        <w:t xml:space="preserve">;</w:t>
      </w:r>
      <w:r>
        <w:t xml:space="preserve"> </w:t>
      </w:r>
      <w:r>
        <w:t xml:space="preserve">ORCID: 0000-0002-0150-3246).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Preprint, 2026. Companion to the framework paper at</w:t>
      </w:r>
      <w:r>
        <w:t xml:space="preserve"> </w:t>
      </w:r>
      <w:r>
        <w:rPr>
          <w:rStyle w:val="VerbatimChar"/>
        </w:rPr>
        <w:t xml:space="preserve">journal/main.tex</w:t>
      </w:r>
      <w:r>
        <w:t xml:space="preserve">; the framework, the dataset panel, and</w:t>
      </w:r>
      <w:r>
        <w:t xml:space="preserve"> </w:t>
      </w:r>
      <w:r>
        <w:t xml:space="preserve">the canonical V1 fit defined there are referenced as P1 throughout</w:t>
      </w:r>
      <w:r>
        <w:t xml:space="preserve"> </w:t>
      </w:r>
      <w:r>
        <w:t xml:space="preserve">this manuscript. Code, derived artefacts, and the interactive web</w:t>
      </w:r>
      <w:r>
        <w:t xml:space="preserve"> </w:t>
      </w:r>
      <w:r>
        <w:t xml:space="preserve">application: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work has been partially funded by The Advanced Mining</w:t>
      </w:r>
      <w:r>
        <w:t xml:space="preserve"> </w:t>
      </w:r>
      <w:r>
        <w:t xml:space="preserve">Technology Center (AMTC) Basal project (ANID/PIA Project AFB220002)</w:t>
      </w:r>
      <w:r>
        <w:t xml:space="preserve"> </w:t>
      </w:r>
      <w:r>
        <w:t xml:space="preserve">and ANID FONDECYT Postdoctorado 3220094.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df" /><Relationship Type="http://schemas.openxmlformats.org/officeDocument/2006/relationships/image" Id="rId54" Target="media/rId54.pdf" /><Relationship Type="http://schemas.openxmlformats.org/officeDocument/2006/relationships/image" Id="rId13" Target="media/rId13.pdf" /><Relationship Type="http://schemas.openxmlformats.org/officeDocument/2006/relationships/image" Id="rId62" Target="media/rId62.pdf" /><Relationship Type="http://schemas.openxmlformats.org/officeDocument/2006/relationships/image" Id="rId50" Target="media/rId50.pdf" /><Relationship Type="http://schemas.openxmlformats.org/officeDocument/2006/relationships/image" Id="rId46" Target="media/rId46.pdf" /><Relationship Type="http://schemas.openxmlformats.org/officeDocument/2006/relationships/image" Id="rId21" Target="media/rId21.pdf" /><Relationship Type="http://schemas.openxmlformats.org/officeDocument/2006/relationships/hyperlink" Id="rId11" Target="https://github.com/fsantibanezleal/CAOS_LDA_HS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fsantibanezleal/CAOS_LDA_HS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Which Wordification Matters? A Nineteen-Recipe Sweep of the Interpretable-Topic-Model Framework on Hyperspectral Imagery</dc:title>
  <dc:creator>Felipe Santibáñez-Leal,    </dc:creator>
  <cp:keywords/>
  <dcterms:created xsi:type="dcterms:W3CDTF">2026-05-31T19:33:09Z</dcterms:created>
  <dcterms:modified xsi:type="dcterms:W3CDTF">2026-05-31T19:33:09Z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</Properties>
</file>