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A — Extended motivation for the band-mask</w:t>
      </w:r>
      <w:r>
        <w:t xml:space="preserve"> </w:t>
      </w:r>
      <w:r>
        <w:t xml:space="preserve">robustness diagnostic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A Band-Mask Robustness Diagnostic for LDA on HSI</w:t>
      </w:r>
      <w:r>
        <w:t xml:space="preserve"> </w:t>
      </w:r>
      <w:r>
        <w:t xml:space="preserve">(WHISPERS 2026)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expands Section I of the conference manuscript. The</w:t>
      </w:r>
      <w:r>
        <w:t xml:space="preserve"> </w:t>
      </w:r>
      <w:r>
        <w:t xml:space="preserve">main paper limits itself to a single contribution — a band-mask</w:t>
      </w:r>
      <w:r>
        <w:t xml:space="preserve"> </w:t>
      </w:r>
      <w:r>
        <w:t xml:space="preserve">robustness diagnostic for LDA on HSI — presented in four printed</w:t>
      </w:r>
      <w:r>
        <w:t xml:space="preserve"> </w:t>
      </w:r>
      <w:r>
        <w:t xml:space="preserve">pages. Here we provide (a) the historical context that motivated the</w:t>
      </w:r>
      <w:r>
        <w:t xml:space="preserve"> </w:t>
      </w:r>
      <w:r>
        <w:t xml:space="preserve">diagnostic, (b) a complete enumeration of the failure modes the</w:t>
      </w:r>
      <w:r>
        <w:t xml:space="preserve"> </w:t>
      </w:r>
      <w:r>
        <w:t xml:space="preserve">diagnostic intends to surface, (c) a contrast with adjacent</w:t>
      </w:r>
      <w:r>
        <w:t xml:space="preserve"> </w:t>
      </w:r>
      <w:r>
        <w:t xml:space="preserve">diagnostics in the literature, and (d) the threats to validity we</w:t>
      </w:r>
      <w:r>
        <w:t xml:space="preserve"> </w:t>
      </w:r>
      <w:r>
        <w:t xml:space="preserve">acknowledge upfront.</w:t>
      </w:r>
    </w:p>
    <w:bookmarkEnd w:id="9"/>
    <w:bookmarkStart w:id="10" w:name="historical-context"/>
    <w:p>
      <w:pPr>
        <w:pStyle w:val="Heading1"/>
      </w:pPr>
      <w:r>
        <w:t xml:space="preserve">Historical context</w:t>
      </w:r>
    </w:p>
    <w:p>
      <w:pPr>
        <w:pStyle w:val="FirstParagraph"/>
      </w:pPr>
      <w:r>
        <w:t xml:space="preserve">Latent Dirichlet Allocation </w:t>
      </w:r>
      <w:r>
        <w:t xml:space="preserve">(Blei et al. 2003)</w:t>
      </w:r>
      <w:r>
        <w:t xml:space="preserve"> </w:t>
      </w:r>
      <w:r>
        <w:t xml:space="preserve">introduced the</w:t>
      </w:r>
      <w:r>
        <w:t xml:space="preserve"> </w:t>
      </w:r>
      <w:r>
        <w:t xml:space="preserve">generative-topic-model framing of a discrete-token corpus over a</w:t>
      </w:r>
      <w:r>
        <w:t xml:space="preserve"> </w:t>
      </w:r>
      <w:r>
        <w:t xml:space="preserve">decade before its first reported application to hyperspectral</w:t>
      </w:r>
      <w:r>
        <w:t xml:space="preserve"> </w:t>
      </w:r>
      <w:r>
        <w:t xml:space="preserve">imagery. The application to HSI </w:t>
      </w:r>
      <w:r>
        <w:t xml:space="preserve">(Zou and Zare 2017; Liu et al. 2019)</w:t>
      </w:r>
      <w:r>
        <w:t xml:space="preserve"> </w:t>
      </w:r>
      <w:r>
        <w:t xml:space="preserve">was</w:t>
      </w:r>
      <w:r>
        <w:t xml:space="preserve"> </w:t>
      </w:r>
      <w:r>
        <w:t xml:space="preserve">preceded by two adjacent paradigms whose evaluation methodology</w:t>
      </w:r>
      <w:r>
        <w:t xml:space="preserve"> </w:t>
      </w:r>
      <w:r>
        <w:t xml:space="preserve">shaped the field’s expectations:</w:t>
      </w:r>
      <w:r>
        <w:t xml:space="preserve"> </w:t>
      </w:r>
      <w:r>
        <w:t xml:space="preserve">linear spectral unmixing </w:t>
      </w:r>
      <w:r>
        <w:t xml:space="preserve">(Nascimento and Bioucas-Dias 2005; Bioucas-Dias et al. 2012)</w:t>
      </w:r>
      <w:r>
        <w:t xml:space="preserve"> </w:t>
      </w:r>
      <w:r>
        <w:t xml:space="preserve">and deep spectral–spatial</w:t>
      </w:r>
      <w:r>
        <w:t xml:space="preserve"> </w:t>
      </w:r>
      <w:r>
        <w:t xml:space="preserve">classification </w:t>
      </w:r>
      <w:r>
        <w:t xml:space="preserve">(Chen et al. 2014; Paoletti et al. 2019)</w:t>
      </w:r>
      <w:r>
        <w:t xml:space="preserve">. Both paradigms</w:t>
      </w:r>
      <w:r>
        <w:t xml:space="preserve"> </w:t>
      </w:r>
      <w:r>
        <w:t xml:space="preserve">matured under an</w:t>
      </w:r>
      <w:r>
        <w:t xml:space="preserve"> </w:t>
      </w:r>
      <w:r>
        <w:rPr>
          <w:i/>
          <w:iCs/>
        </w:rPr>
        <w:t xml:space="preserve">accuracy-first</w:t>
      </w:r>
      <w:r>
        <w:t xml:space="preserve"> </w:t>
      </w:r>
      <w:r>
        <w:t xml:space="preserve">evaluation discipline: the</w:t>
      </w:r>
      <w:r>
        <w:t xml:space="preserve"> </w:t>
      </w:r>
      <w:r>
        <w:t xml:space="preserve">canonical figure of merit is overall accuracy (OA) of a downstream</w:t>
      </w:r>
      <w:r>
        <w:t xml:space="preserve"> </w:t>
      </w:r>
      <w:r>
        <w:t xml:space="preserve">classifier on a held-out fold of one of the standard labelled</w:t>
      </w:r>
      <w:r>
        <w:t xml:space="preserve"> </w:t>
      </w:r>
      <w:r>
        <w:t xml:space="preserve">benchmarks (Indian Pines, Salinas, Pavia U; later KSC and Botswana),</w:t>
      </w:r>
      <w:r>
        <w:t xml:space="preserve"> </w:t>
      </w:r>
      <w:r>
        <w:t xml:space="preserve">and methodological progress is measured as a delta against the best</w:t>
      </w:r>
      <w:r>
        <w:t xml:space="preserve"> </w:t>
      </w:r>
      <w:r>
        <w:t xml:space="preserve">prior OA on the same scene.</w:t>
      </w:r>
    </w:p>
    <w:p>
      <w:pPr>
        <w:pStyle w:val="BodyText"/>
      </w:pPr>
      <w:r>
        <w:t xml:space="preserve">This discipline served unmixing and deep classification well: the</w:t>
      </w:r>
      <w:r>
        <w:t xml:space="preserve"> </w:t>
      </w:r>
      <w:r>
        <w:t xml:space="preserve">inductive bias of each paradigm is sufficiently strong that</w:t>
      </w:r>
      <w:r>
        <w:t xml:space="preserve"> </w:t>
      </w:r>
      <w:r>
        <w:t xml:space="preserve">post-hoc interpretability claims (endmember spectra; feature</w:t>
      </w:r>
      <w:r>
        <w:t xml:space="preserve"> </w:t>
      </w:r>
      <w:r>
        <w:t xml:space="preserve">visualisations) carry low risk of being a freak of a particular</w:t>
      </w:r>
      <w:r>
        <w:t xml:space="preserve"> </w:t>
      </w:r>
      <w:r>
        <w:t xml:space="preserve">training run. Topic models do not enjoy that protection. The basis</w:t>
      </w:r>
      <w:r>
        <w:t xml:space="preserve"> </w:t>
      </w:r>
      <m:oMath>
        <m:r>
          <m:t>ϕ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  <m:sup>
            <m:r>
              <m:t>K</m:t>
            </m:r>
            <m:r>
              <m:rPr>
                <m:sty m:val="p"/>
              </m:rPr>
              <m:t>×</m:t>
            </m:r>
            <m:r>
              <m:t>B</m:t>
            </m:r>
          </m:sup>
        </m:sSubSup>
      </m:oMath>
      <w:r>
        <w:t xml:space="preserve"> </w:t>
      </w:r>
      <w:r>
        <w:t xml:space="preserve">inferred by LDA is identifiable only up</w:t>
      </w:r>
      <w:r>
        <w:t xml:space="preserve"> </w:t>
      </w:r>
      <w:r>
        <w:t xml:space="preserve">to a label permutation, and the inference procedure (online</w:t>
      </w:r>
      <w:r>
        <w:t xml:space="preserve"> </w:t>
      </w:r>
      <w:r>
        <w:t xml:space="preserve">variational Bayes </w:t>
      </w:r>
      <w:r>
        <w:t xml:space="preserve">(Hoffman et al. 2010)</w:t>
      </w:r>
      <w:r>
        <w:t xml:space="preserve">, collapsed Gibbs</w:t>
      </w:r>
      <w:r>
        <w:t xml:space="preserve"> </w:t>
      </w:r>
      <w:r>
        <w:t xml:space="preserve">sampling </w:t>
      </w:r>
      <w:r>
        <w:t xml:space="preserve">(Griffiths and Steyvers 2004)</w:t>
      </w:r>
      <w:r>
        <w:t xml:space="preserve">, or amortised variational</w:t>
      </w:r>
      <w:r>
        <w:t xml:space="preserve"> </w:t>
      </w:r>
      <w:r>
        <w:t xml:space="preserve">autoencoders in the neural variants </w:t>
      </w:r>
      <w:r>
        <w:t xml:space="preserve">(Srivastava and Sutton 2017; Dieng et al. 2020)</w:t>
      </w:r>
      <w:r>
        <w:t xml:space="preserve">) has multiple posterior modes for any finite-data</w:t>
      </w:r>
      <w:r>
        <w:t xml:space="preserve"> </w:t>
      </w:r>
      <w:r>
        <w:t xml:space="preserve">problem. The interpretability of a single trained model is therefore</w:t>
      </w:r>
      <w:r>
        <w:t xml:space="preserve"> </w:t>
      </w:r>
      <w:r>
        <w:t xml:space="preserve">contingent on a chain of stability properties: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Seed stability</w:t>
      </w:r>
      <w:r>
        <w:t xml:space="preserve">: refitting under a different random</w:t>
      </w:r>
      <w:r>
        <w:t xml:space="preserve"> </w:t>
      </w:r>
      <w:r>
        <w:t xml:space="preserve">initialisation should yield the same basis up to permutation.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Capacity stability</w:t>
      </w:r>
      <w:r>
        <w:t xml:space="preserve">: increasing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one should split</w:t>
      </w:r>
      <w:r>
        <w:t xml:space="preserve"> </w:t>
      </w:r>
      <w:r>
        <w:t xml:space="preserve">one canonical topic into two, not reshuffle every topic.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Sample stability</w:t>
      </w:r>
      <w:r>
        <w:t xml:space="preserve">: subsampling the corpus should not</w:t>
      </w:r>
      <w:r>
        <w:t xml:space="preserve"> </w:t>
      </w:r>
      <w:r>
        <w:t xml:space="preserve">relabel topics.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Hyperparameter stability</w:t>
      </w:r>
      <w:r>
        <w:t xml:space="preserve">: nudging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should not alter topic identity at the same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Spectral-window stability</w:t>
      </w:r>
      <w:r>
        <w:t xml:space="preserve">: dropping the</w:t>
      </w:r>
      <w:r>
        <w:t xml:space="preserve"> </w:t>
      </w:r>
      <w:r>
        <w:t xml:space="preserve">atmospheric-water bands, or restricting to VNIR or SWIR only, should</w:t>
      </w:r>
      <w:r>
        <w:t xml:space="preserve"> </w:t>
      </w:r>
      <w:r>
        <w:t xml:space="preserve">not relabel topics (modulo the bands that the mask actually removes).</w:t>
      </w:r>
    </w:p>
    <w:p>
      <w:pPr>
        <w:pStyle w:val="FirstParagraph"/>
      </w:pPr>
      <w:r>
        <w:t xml:space="preserve">Failure of any one of these properties weakens any claim of the form</w:t>
      </w:r>
      <w:r>
        <w:t xml:space="preserve"> </w:t>
      </w:r>
      <w:r>
        <w:t xml:space="preserve">“topic </w:t>
      </w:r>
      <m:oMath>
        <m:r>
          <m:t>k</m:t>
        </m:r>
      </m:oMath>
      <w:r>
        <w:t xml:space="preserve"> </w:t>
      </w:r>
      <w:r>
        <w:t xml:space="preserve">is a mineral signature”</w:t>
      </w:r>
      <w:r>
        <w:t xml:space="preserve"> </w:t>
      </w:r>
      <w:r>
        <w:t xml:space="preserve">or</w:t>
      </w:r>
      <w:r>
        <w:t xml:space="preserve"> </w:t>
      </w:r>
      <w:r>
        <w:t xml:space="preserve">“topic </w:t>
      </w:r>
      <m:oMath>
        <m:r>
          <m:t>k</m:t>
        </m:r>
      </m:oMath>
      <w:r>
        <w:t xml:space="preserve"> </w:t>
      </w:r>
      <w:r>
        <w:t xml:space="preserve">corresponds to</w:t>
      </w:r>
      <w:r>
        <w:t xml:space="preserve"> </w:t>
      </w:r>
      <w:r>
        <w:t xml:space="preserve">healthy canopy”</w:t>
      </w:r>
      <w:r>
        <w:t xml:space="preserve">. The first four properties are reported (sparingly)</w:t>
      </w:r>
      <w:r>
        <w:t xml:space="preserve"> </w:t>
      </w:r>
      <w:r>
        <w:t xml:space="preserve">in the existing literature; the fifth — spectral-window stability</w:t>
      </w:r>
      <w:r>
        <w:t xml:space="preserve"> </w:t>
      </w:r>
      <w:r>
        <w:t xml:space="preserve">— is, to our knowledge, not reported anywhere as a per-scene</w:t>
      </w:r>
      <w:r>
        <w:t xml:space="preserve"> </w:t>
      </w:r>
      <w:r>
        <w:t xml:space="preserve">diagnostic. The band-mask diagnostic of the main paper fills exactly</w:t>
      </w:r>
      <w:r>
        <w:t xml:space="preserve"> </w:t>
      </w:r>
      <w:r>
        <w:t xml:space="preserve">this gap.</w:t>
      </w:r>
    </w:p>
    <w:bookmarkEnd w:id="10"/>
    <w:bookmarkStart w:id="11" w:name="failure-modes-the-diagnostic-surfaces"/>
    <w:p>
      <w:pPr>
        <w:pStyle w:val="Heading1"/>
      </w:pPr>
      <w:r>
        <w:t xml:space="preserve">Failure modes the diagnostic surfaces</w:t>
      </w:r>
    </w:p>
    <w:p>
      <w:pPr>
        <w:pStyle w:val="FirstParagraph"/>
      </w:pPr>
      <w:r>
        <w:t xml:space="preserve">The band-mask diagnostic is a hypothesis test under the null:</w:t>
      </w:r>
      <w:r>
        <w:t xml:space="preserve"> </w:t>
      </w:r>
      <w:r>
        <w:rPr>
          <w:smallCaps/>
        </w:rPr>
        <w:t xml:space="preserve">H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The canonical topic basis is a property of the</w:t>
      </w:r>
      <w:r>
        <w:rPr>
          <w:i/>
          <w:iCs/>
        </w:rPr>
        <w:t xml:space="preserve"> </w:t>
      </w:r>
      <w:r>
        <w:rPr>
          <w:i/>
          <w:iCs/>
        </w:rPr>
        <w:t xml:space="preserve">scene’s underlying material distribution and is therefore robust to</w:t>
      </w:r>
      <w:r>
        <w:rPr>
          <w:i/>
          <w:iCs/>
        </w:rPr>
        <w:t xml:space="preserve"> </w:t>
      </w:r>
      <w:r>
        <w:rPr>
          <w:i/>
          <w:iCs/>
        </w:rPr>
        <w:t xml:space="preserve">the choice of spectral window.</w:t>
      </w:r>
    </w:p>
    <w:p>
      <w:pPr>
        <w:pStyle w:val="BodyText"/>
      </w:pPr>
      <w:r>
        <w:t xml:space="preserve">The diagnostic returns a per-(scene, mask) paired ARI; values close</w:t>
      </w:r>
      <w:r>
        <w:t xml:space="preserve"> </w:t>
      </w:r>
      <w:r>
        <w:t xml:space="preserve">to 1 fail to reject</w:t>
      </w:r>
      <w:r>
        <w:t xml:space="preserve"> </w:t>
      </w:r>
      <w:r>
        <w:rPr>
          <w:smallCaps/>
        </w:rPr>
        <w:t xml:space="preserve">H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, values close to 0 reject. There</w:t>
      </w:r>
      <w:r>
        <w:t xml:space="preserve"> </w:t>
      </w:r>
      <w:r>
        <w:t xml:space="preserve">are three substantively different ways to reject: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Mode (i): canonical-fit redundancy.</w:t>
      </w:r>
      <w:r>
        <w:t xml:space="preserve"> </w:t>
      </w:r>
      <w:r>
        <w:t xml:space="preserve">The canonical</w:t>
      </w:r>
      <w:r>
        <w:t xml:space="preserve"> </w:t>
      </w:r>
      <w:r>
        <w:t xml:space="preserve">basis exploits fine-grained correlations that are present in the</w:t>
      </w:r>
      <w:r>
        <w:t xml:space="preserve"> </w:t>
      </w:r>
      <w:r>
        <w:t xml:space="preserve">full-band representation and disappear under restriction. The</w:t>
      </w:r>
      <w:r>
        <w:t xml:space="preserve"> </w:t>
      </w:r>
      <w:r>
        <w:t xml:space="preserve">canonical topics are correct in the canonical reference frame but</w:t>
      </w:r>
      <w:r>
        <w:t xml:space="preserve"> </w:t>
      </w:r>
      <w:r>
        <w:t xml:space="preserve">not transportable across spectral windows.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Mode (ii): weak identification.</w:t>
      </w:r>
      <w:r>
        <w:t xml:space="preserve"> </w:t>
      </w:r>
      <w:r>
        <w:t xml:space="preserve">The latent basis is</w:t>
      </w:r>
      <w:r>
        <w:t xml:space="preserve"> </w:t>
      </w:r>
      <w:r>
        <w:t xml:space="preserve">under-determined by the available data (small per-class sample, large</w:t>
      </w:r>
      <w:r>
        <w:t xml:space="preserve"> </w:t>
      </w:r>
      <w:r>
        <w:t xml:space="preserve">class count, narrow bands). Different posterior modes are equally</w:t>
      </w:r>
      <w:r>
        <w:t xml:space="preserve"> </w:t>
      </w:r>
      <w:r>
        <w:t xml:space="preserve">plausible under different band subsets.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Mode (iii): mask-induced collinearity.</w:t>
      </w:r>
      <w:r>
        <w:t xml:space="preserve"> </w:t>
      </w:r>
      <w:r>
        <w:t xml:space="preserve">The mask</w:t>
      </w:r>
      <w:r>
        <w:t xml:space="preserve"> </w:t>
      </w:r>
      <w:r>
        <w:t xml:space="preserve">removes the bands that were carrying the discriminative signal, so</w:t>
      </w:r>
      <w:r>
        <w:t xml:space="preserve"> </w:t>
      </w:r>
      <w:r>
        <w:t xml:space="preserve">the masked LDA fits a different basis on the residual spectrum that</w:t>
      </w:r>
      <w:r>
        <w:t xml:space="preserve"> </w:t>
      </w:r>
      <w:r>
        <w:t xml:space="preserve">is correct for the residual but incomparable to the canonical.</w:t>
      </w:r>
    </w:p>
    <w:p>
      <w:pPr>
        <w:pStyle w:val="FirstParagraph"/>
      </w:pPr>
      <w:r>
        <w:t xml:space="preserve">The diagnostic does not separate (i)–(iii) by design — doing so</w:t>
      </w:r>
      <w:r>
        <w:t xml:space="preserve"> </w:t>
      </w:r>
      <w:r>
        <w:t xml:space="preserve">would require additional information (e.g. band-wise Fisher ratios,</w:t>
      </w:r>
      <w:r>
        <w:t xml:space="preserve"> </w:t>
      </w:r>
      <w:r>
        <w:t xml:space="preserve">sample-size posterior bounds) and would inflate the diagnostic’s</w:t>
      </w:r>
      <w:r>
        <w:t xml:space="preserve"> </w:t>
      </w:r>
      <w:r>
        <w:t xml:space="preserve">artefact footprint without changing the per-scene yes/no judgement</w:t>
      </w:r>
      <w:r>
        <w:t xml:space="preserve"> </w:t>
      </w:r>
      <w:r>
        <w:t xml:space="preserve">that motivates it. The conference paper’s discussion explicitly flags</w:t>
      </w:r>
      <w:r>
        <w:t xml:space="preserve"> </w:t>
      </w:r>
      <w:r>
        <w:t xml:space="preserve">that the diagnostic is a</w:t>
      </w:r>
      <w:r>
        <w:t xml:space="preserve"> </w:t>
      </w:r>
      <w:r>
        <w:rPr>
          <w:i/>
          <w:iCs/>
        </w:rPr>
        <w:t xml:space="preserve">flag-raising</w:t>
      </w:r>
      <w:r>
        <w:t xml:space="preserve"> </w:t>
      </w:r>
      <w:r>
        <w:t xml:space="preserve">tool, not a</w:t>
      </w:r>
      <w:r>
        <w:t xml:space="preserve"> </w:t>
      </w:r>
      <w:r>
        <w:rPr>
          <w:i/>
          <w:iCs/>
        </w:rPr>
        <w:t xml:space="preserve">root-cause-isolating</w:t>
      </w:r>
      <w:r>
        <w:t xml:space="preserve"> </w:t>
      </w:r>
      <w:r>
        <w:t xml:space="preserve">tool.</w:t>
      </w:r>
    </w:p>
    <w:bookmarkEnd w:id="11"/>
    <w:bookmarkStart w:id="15" w:name="contrast-with-adjacent-diagnostics"/>
    <w:p>
      <w:pPr>
        <w:pStyle w:val="Heading1"/>
      </w:pPr>
      <w:r>
        <w:t xml:space="preserve">Contrast with adjacent diagnostics</w:t>
      </w:r>
    </w:p>
    <w:p>
      <w:pPr>
        <w:pStyle w:val="FirstParagraph"/>
      </w:pPr>
      <w:r>
        <w:t xml:space="preserve">We briefly contrast the band-mask diagnostic with three related</w:t>
      </w:r>
      <w:r>
        <w:t xml:space="preserve"> </w:t>
      </w:r>
      <w:r>
        <w:t xml:space="preserve">diagnostics in the wider topic-model and clustering literature.</w:t>
      </w:r>
    </w:p>
    <w:bookmarkStart w:id="12" w:name="seed-stability-swarms."/>
    <w:p>
      <w:pPr>
        <w:pStyle w:val="Heading4"/>
      </w:pPr>
      <w:r>
        <w:t xml:space="preserve">Seed-stability swarms.</w:t>
      </w:r>
    </w:p>
    <w:p>
      <w:pPr>
        <w:pStyle w:val="FirstParagraph"/>
      </w:pPr>
      <w:r>
        <w:t xml:space="preserve">Plotting per-seed ARI to ground</w:t>
      </w:r>
      <w:r>
        <w:t xml:space="preserve"> </w:t>
      </w:r>
      <w:r>
        <w:t xml:space="preserve">truth across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refits </w:t>
      </w:r>
      <w:r>
        <w:t xml:space="preserve">(Koltchinskii and Panchenko 2002; Vinh et al. 2010)</w:t>
      </w:r>
      <w:r>
        <w:t xml:space="preserve"> </w:t>
      </w:r>
      <w:r>
        <w:t xml:space="preserve">answers</w:t>
      </w:r>
      <w:r>
        <w:t xml:space="preserve"> </w:t>
      </w:r>
      <w:r>
        <w:t xml:space="preserve">“does the same model on the same data</w:t>
      </w:r>
      <w:r>
        <w:t xml:space="preserve"> </w:t>
      </w:r>
      <w:r>
        <w:t xml:space="preserve">yield the same topics”</w:t>
      </w:r>
      <w:r>
        <w:t xml:space="preserve">, a different and weaker question than</w:t>
      </w:r>
      <w:r>
        <w:t xml:space="preserve"> </w:t>
      </w:r>
      <w:r>
        <w:t xml:space="preserve">“does</w:t>
      </w:r>
      <w:r>
        <w:t xml:space="preserve"> </w:t>
      </w:r>
      <w:r>
        <w:t xml:space="preserve">the same model on related data yield the same topics”</w:t>
      </w:r>
      <w:r>
        <w:t xml:space="preserve">. Seed</w:t>
      </w:r>
      <w:r>
        <w:t xml:space="preserve"> </w:t>
      </w:r>
      <w:r>
        <w:t xml:space="preserve">stability is, in our framework, axis F-3; the band-mask diagnostic is</w:t>
      </w:r>
      <w:r>
        <w:t xml:space="preserve"> </w:t>
      </w:r>
      <w:r>
        <w:t xml:space="preserve">axis F-5.</w:t>
      </w:r>
    </w:p>
    <w:bookmarkEnd w:id="12"/>
    <w:bookmarkStart w:id="13" w:name="cross-fold-ari."/>
    <w:p>
      <w:pPr>
        <w:pStyle w:val="Heading4"/>
      </w:pPr>
      <w:r>
        <w:t xml:space="preserve">Cross-fold ARI.</w:t>
      </w:r>
    </w:p>
    <w:p>
      <w:pPr>
        <w:pStyle w:val="FirstParagraph"/>
      </w:pPr>
      <w:r>
        <w:t xml:space="preserve">K-fold CV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followed by ARI</w:t>
      </w:r>
      <w:r>
        <w:t xml:space="preserve"> </w:t>
      </w:r>
      <w:r>
        <w:t xml:space="preserve">comparison is sensitive to the held-out fold’s class proportion; it</w:t>
      </w:r>
      <w:r>
        <w:t xml:space="preserve"> </w:t>
      </w:r>
      <w:r>
        <w:t xml:space="preserve">does not surface whether the topic basis itself is stable.</w:t>
      </w:r>
    </w:p>
    <w:bookmarkEnd w:id="13"/>
    <w:bookmarkStart w:id="14" w:name="coherence-measures."/>
    <w:p>
      <w:pPr>
        <w:pStyle w:val="Heading4"/>
      </w:pPr>
      <w:r>
        <w:t xml:space="preserve">Coherence measures.</w:t>
      </w:r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NPMI</m:t>
            </m:r>
          </m:sub>
        </m:sSub>
      </m:oMath>
      <w:r>
        <w:t xml:space="preserve"> </w:t>
      </w:r>
      <w:r>
        <w:t xml:space="preserve">(Röder et al. 2015)</w:t>
      </w:r>
      <w:r>
        <w:t xml:space="preserve"> </w:t>
      </w:r>
      <w:r>
        <w:t xml:space="preserve">score the top-</w:t>
      </w:r>
      <m:oMath>
        <m:r>
          <m:t>N</m:t>
        </m:r>
      </m:oMath>
      <w:r>
        <w:t xml:space="preserve"> </w:t>
      </w:r>
      <w:r>
        <w:t xml:space="preserve">words per topic against</w:t>
      </w:r>
      <w:r>
        <w:t xml:space="preserve"> </w:t>
      </w:r>
      <w:r>
        <w:t xml:space="preserve">a reference corpus; they capture intra-topic compactness but say</w:t>
      </w:r>
      <w:r>
        <w:t xml:space="preserve"> </w:t>
      </w:r>
      <w:r>
        <w:t xml:space="preserve">nothing about cross-fit identity preservation.</w:t>
      </w:r>
    </w:p>
    <w:p>
      <w:pPr>
        <w:pStyle w:val="BodyText"/>
      </w:pPr>
      <w:r>
        <w:t xml:space="preserve">The band-mask diagnostic occupies a different methodological niche</w:t>
      </w:r>
      <w:r>
        <w:t xml:space="preserve"> </w:t>
      </w:r>
      <w:r>
        <w:t xml:space="preserve">from each of the above: it asks whether the inferred topic</w:t>
      </w:r>
      <w:r>
        <w:t xml:space="preserve"> </w:t>
      </w:r>
      <w:r>
        <w:rPr>
          <w:i/>
          <w:iCs/>
        </w:rPr>
        <w:t xml:space="preserve">identities</w:t>
      </w:r>
      <w:r>
        <w:t xml:space="preserve"> </w:t>
      </w:r>
      <w:r>
        <w:t xml:space="preserve">survive a specific class of data restriction, with</w:t>
      </w:r>
      <w:r>
        <w:t xml:space="preserve"> </w:t>
      </w:r>
      <w:r>
        <w:t xml:space="preserve">the answer interpretable directly as a chance-corrected proportion.</w:t>
      </w:r>
    </w:p>
    <w:bookmarkEnd w:id="14"/>
    <w:bookmarkEnd w:id="15"/>
    <w:bookmarkStart w:id="48" w:name="threats-to-validity-acknowledged-upfront"/>
    <w:p>
      <w:pPr>
        <w:pStyle w:val="Heading1"/>
      </w:pPr>
      <w:r>
        <w:t xml:space="preserve">Threats to validity acknowledged upfront</w:t>
      </w:r>
    </w:p>
    <w:bookmarkStart w:id="16" w:name="X191fda717e43e15b02049d5b36e523386d5839b"/>
    <w:p>
      <w:pPr>
        <w:pStyle w:val="Heading4"/>
      </w:pPr>
      <w:r>
        <w:t xml:space="preserve">Top-50 Fisher ranking is computed on the unmasked</w:t>
      </w:r>
      <w:r>
        <w:t xml:space="preserve"> </w:t>
      </w:r>
      <w:r>
        <w:t xml:space="preserve">spectrum.</w:t>
      </w:r>
    </w:p>
    <w:p>
      <w:pPr>
        <w:pStyle w:val="FirstParagraph"/>
      </w:pPr>
      <w:r>
        <w:t xml:space="preserve">The Fisher ratio per band is computed against the</w:t>
      </w:r>
      <w:r>
        <w:t xml:space="preserve"> </w:t>
      </w:r>
      <w:r>
        <w:t xml:space="preserve">ground-truth label on the full-band spectrum; the mask then selects</w:t>
      </w:r>
      <w:r>
        <w:t xml:space="preserve"> </w:t>
      </w:r>
      <w:r>
        <w:t xml:space="preserve">the top-50 bands by that ranking. This is a deliberate choice —</w:t>
      </w:r>
      <w:r>
        <w:t xml:space="preserve"> </w:t>
      </w:r>
      <w:r>
        <w:t xml:space="preserve">recomputing the Fisher ranking on each masked subset would conflate</w:t>
      </w:r>
      <w:r>
        <w:t xml:space="preserve"> </w:t>
      </w:r>
      <w:r>
        <w:t xml:space="preserve">the within-mask discriminability with the between-mask comparison</w:t>
      </w:r>
      <w:r>
        <w:t xml:space="preserve"> </w:t>
      </w:r>
      <w:r>
        <w:t xml:space="preserve">the diagnostic is trying to surface. The trade-off is that the</w:t>
      </w:r>
      <w:r>
        <w:t xml:space="preserve"> </w:t>
      </w:r>
      <w:r>
        <w:t xml:space="preserve">top-50 Fisher mask is a</w:t>
      </w:r>
      <w:r>
        <w:t xml:space="preserve"> </w:t>
      </w:r>
      <w:r>
        <w:rPr>
          <w:i/>
          <w:iCs/>
        </w:rPr>
        <w:t xml:space="preserve">post-hoc</w:t>
      </w:r>
      <w:r>
        <w:t xml:space="preserve"> </w:t>
      </w:r>
      <w:r>
        <w:t xml:space="preserve">selector and its paired-ARI</w:t>
      </w:r>
      <w:r>
        <w:t xml:space="preserve"> </w:t>
      </w:r>
      <w:r>
        <w:t xml:space="preserve">value should be interpreted accordingly.</w:t>
      </w:r>
    </w:p>
    <w:bookmarkEnd w:id="16"/>
    <w:bookmarkStart w:id="17" w:name="canonical-k-is-held-fixed."/>
    <w:p>
      <w:pPr>
        <w:pStyle w:val="Heading4"/>
      </w:pPr>
      <w:r>
        <w:t xml:space="preserve">Canonical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held fixed.</w:t>
      </w:r>
    </w:p>
    <w:p>
      <w:pPr>
        <w:pStyle w:val="FirstParagraph"/>
      </w:pPr>
      <w:r>
        <w:t xml:space="preserve">The mask-refit uses the</w:t>
      </w:r>
      <w:r>
        <w:t xml:space="preserve"> </w:t>
      </w:r>
      <w:r>
        <w:t xml:space="preserve">canonical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rather than a per-mask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We argue this is the</w:t>
      </w:r>
      <w:r>
        <w:t xml:space="preserve"> </w:t>
      </w:r>
      <w:r>
        <w:t xml:space="preserve">right comparison because changing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fits introduces a</w:t>
      </w:r>
      <w:r>
        <w:t xml:space="preserve"> </w:t>
      </w:r>
      <w:r>
        <w:t xml:space="preserve">second degree of freedom that mixes with the band-restriction we are</w:t>
      </w:r>
      <w:r>
        <w:t xml:space="preserve"> </w:t>
      </w:r>
      <w:r>
        <w:t xml:space="preserve">isolating. The cost is that on a scene where the canonical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too</w:t>
      </w:r>
      <w:r>
        <w:t xml:space="preserve"> </w:t>
      </w:r>
      <w:r>
        <w:t xml:space="preserve">large for the masked spectrum, the masked fit will under-utilise its</w:t>
      </w:r>
      <w:r>
        <w:t xml:space="preserve"> </w:t>
      </w:r>
      <w:r>
        <w:t xml:space="preserve">capacity.</w:t>
      </w:r>
    </w:p>
    <w:bookmarkEnd w:id="17"/>
    <w:bookmarkStart w:id="47" w:name="sentinel-masking-of-unlabelled-pixels."/>
    <w:p>
      <w:pPr>
        <w:pStyle w:val="Heading4"/>
      </w:pPr>
      <w:r>
        <w:t xml:space="preserve">Sentinel masking of unlabelled pixels.</w:t>
      </w:r>
    </w:p>
    <w:p>
      <w:pPr>
        <w:pStyle w:val="FirstParagraph"/>
      </w:pPr>
      <w:r>
        <w:t xml:space="preserve">Both the canonical</w:t>
      </w:r>
      <w:r>
        <w:t xml:space="preserve"> </w:t>
      </w:r>
      <w:r>
        <w:t xml:space="preserve">and masked dominant-topic maps use sentinel 255 for unlabelled pixels;</w:t>
      </w:r>
      <w:r>
        <w:t xml:space="preserve"> </w:t>
      </w:r>
      <w:r>
        <w:t xml:space="preserve">the paired ARI is computed only on the intersection of labelled</w:t>
      </w:r>
      <w:r>
        <w:t xml:space="preserve"> </w:t>
      </w:r>
      <w:r>
        <w:t xml:space="preserve">pixels. The two fits therefore see a different document set from the</w:t>
      </w:r>
      <w:r>
        <w:t xml:space="preserve"> </w:t>
      </w:r>
      <w:r>
        <w:t xml:space="preserve">band axis but the same document set from the spatial axis.</w:t>
      </w:r>
    </w:p>
    <w:bookmarkStart w:id="46" w:name="refs"/>
    <w:bookmarkStart w:id="19" w:name="ref-bioucasdias2012unmixing"/>
    <w:p>
      <w:pPr>
        <w:pStyle w:val="Bibliography"/>
      </w:pPr>
      <w:r>
        <w:t xml:space="preserve">Bioucas-Dias, José M., Antonio Plaza, Nicolas Dobigeon, et al. 2012.</w:t>
      </w:r>
      <w:r>
        <w:t xml:space="preserve"> </w:t>
      </w:r>
      <w:r>
        <w:t xml:space="preserve">“Hyperspectral Unmixing Overview: Geometrical, Statistical, and Sparse Regression-Based Approaches.”</w:t>
      </w:r>
      <w:r>
        <w:t xml:space="preserve"> </w:t>
      </w:r>
      <w:r>
        <w:rPr>
          <w:i/>
          <w:iCs/>
        </w:rPr>
        <w:t xml:space="preserve">IEEE Journal of Selected Topics in Applied Earth Observations and Remote Sensing</w:t>
      </w:r>
      <w:r>
        <w:t xml:space="preserve"> </w:t>
      </w:r>
      <w:r>
        <w:t xml:space="preserve">5 (2): 354–79.</w:t>
      </w:r>
      <w:r>
        <w:t xml:space="preserve"> </w:t>
      </w:r>
      <w:hyperlink r:id="rId18">
        <w:r>
          <w:rPr>
            <w:rStyle w:val="Hyperlink"/>
          </w:rPr>
          <w:t xml:space="preserve">https://doi.org/10.1109/JSTARS.2012.2194696</w:t>
        </w:r>
      </w:hyperlink>
      <w:r>
        <w:t xml:space="preserve">.</w:t>
      </w:r>
    </w:p>
    <w:bookmarkEnd w:id="19"/>
    <w:bookmarkStart w:id="21" w:name="ref-blei2003lda"/>
    <w:p>
      <w:pPr>
        <w:pStyle w:val="Bibliography"/>
      </w:pPr>
      <w:r>
        <w:t xml:space="preserve">Blei, David M., Andrew Y. Ng, and Michael I. Jordan. 2003.</w:t>
      </w:r>
      <w:r>
        <w:t xml:space="preserve"> </w:t>
      </w:r>
      <w:r>
        <w:t xml:space="preserve">“Latent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3: 993–1022.</w:t>
      </w:r>
      <w:r>
        <w:t xml:space="preserve"> </w:t>
      </w:r>
      <w:hyperlink r:id="rId20">
        <w:r>
          <w:rPr>
            <w:rStyle w:val="Hyperlink"/>
          </w:rPr>
          <w:t xml:space="preserve">https://jmlr.org/papers/v3/blei03a.html</w:t>
        </w:r>
      </w:hyperlink>
      <w:r>
        <w:t xml:space="preserve">.</w:t>
      </w:r>
    </w:p>
    <w:bookmarkEnd w:id="21"/>
    <w:bookmarkStart w:id="23" w:name="ref-chen2014deep"/>
    <w:p>
      <w:pPr>
        <w:pStyle w:val="Bibliography"/>
      </w:pPr>
      <w:r>
        <w:t xml:space="preserve">Chen, Yushi, Zhouhan Lin, Xing Zhao, Gang Wang, and Yanfeng Gu. 2014.</w:t>
      </w:r>
      <w:r>
        <w:t xml:space="preserve"> </w:t>
      </w:r>
      <w:r>
        <w:t xml:space="preserve">“Deep Learning-Based Classification of Hyperspectral Data.”</w:t>
      </w:r>
      <w:r>
        <w:t xml:space="preserve"> </w:t>
      </w:r>
      <w:r>
        <w:rPr>
          <w:i/>
          <w:iCs/>
        </w:rPr>
        <w:t xml:space="preserve">IEEE Journal of Selected Topics in Applied Earth Observations and Remote Sensing</w:t>
      </w:r>
      <w:r>
        <w:t xml:space="preserve"> </w:t>
      </w:r>
      <w:r>
        <w:t xml:space="preserve">7 (6): 2094–107.</w:t>
      </w:r>
      <w:r>
        <w:t xml:space="preserve"> </w:t>
      </w:r>
      <w:hyperlink r:id="rId22">
        <w:r>
          <w:rPr>
            <w:rStyle w:val="Hyperlink"/>
          </w:rPr>
          <w:t xml:space="preserve">https://doi.org/10.1109/JSTARS.2014.2329330</w:t>
        </w:r>
      </w:hyperlink>
      <w:r>
        <w:t xml:space="preserve">.</w:t>
      </w:r>
    </w:p>
    <w:bookmarkEnd w:id="23"/>
    <w:bookmarkStart w:id="25" w:name="ref-dieng2020topic"/>
    <w:p>
      <w:pPr>
        <w:pStyle w:val="Bibliography"/>
      </w:pPr>
      <w:r>
        <w:t xml:space="preserve">Dieng, Adji B., Francisco J. R. Ruiz, and David M. Blei. 2020.</w:t>
      </w:r>
      <w:r>
        <w:t xml:space="preserve"> </w:t>
      </w:r>
      <w:r>
        <w:t xml:space="preserve">“Topic Modeling in Embedding Spaces.”</w:t>
      </w:r>
      <w:r>
        <w:t xml:space="preserve"> </w:t>
      </w:r>
      <w:r>
        <w:rPr>
          <w:i/>
          <w:iCs/>
        </w:rPr>
        <w:t xml:space="preserve">Transactions of the Association for Computational Linguistics</w:t>
      </w:r>
      <w:r>
        <w:t xml:space="preserve"> </w:t>
      </w:r>
      <w:r>
        <w:t xml:space="preserve">8: 439–53.</w:t>
      </w:r>
      <w:r>
        <w:t xml:space="preserve"> </w:t>
      </w:r>
      <w:hyperlink r:id="rId24">
        <w:r>
          <w:rPr>
            <w:rStyle w:val="Hyperlink"/>
          </w:rPr>
          <w:t xml:space="preserve">https://doi.org/10.1162/tacl_a_00325</w:t>
        </w:r>
      </w:hyperlink>
      <w:r>
        <w:t xml:space="preserve">.</w:t>
      </w:r>
    </w:p>
    <w:bookmarkEnd w:id="25"/>
    <w:bookmarkStart w:id="27" w:name="ref-griffiths2004finding"/>
    <w:p>
      <w:pPr>
        <w:pStyle w:val="Bibliography"/>
      </w:pPr>
      <w:r>
        <w:t xml:space="preserve">Griffiths, Thomas L., and Mark Steyvers. 2004.</w:t>
      </w:r>
      <w:r>
        <w:t xml:space="preserve"> </w:t>
      </w:r>
      <w:r>
        <w:t xml:space="preserve">“Finding Scientific Topics.”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101 (Suppl. 1): 5228–35.</w:t>
      </w:r>
      <w:r>
        <w:t xml:space="preserve"> </w:t>
      </w:r>
      <w:hyperlink r:id="rId26">
        <w:r>
          <w:rPr>
            <w:rStyle w:val="Hyperlink"/>
          </w:rPr>
          <w:t xml:space="preserve">https://doi.org/10.1073/pnas.0307752101</w:t>
        </w:r>
      </w:hyperlink>
      <w:r>
        <w:t xml:space="preserve">.</w:t>
      </w:r>
    </w:p>
    <w:bookmarkEnd w:id="27"/>
    <w:bookmarkStart w:id="29" w:name="ref-hoffman2010online"/>
    <w:p>
      <w:pPr>
        <w:pStyle w:val="Bibliography"/>
      </w:pPr>
      <w:r>
        <w:t xml:space="preserve">Hoffman, Matthew D., David M. Blei, and Francis R. Bach. 2010.</w:t>
      </w:r>
      <w:r>
        <w:t xml:space="preserve"> </w:t>
      </w:r>
      <w:r>
        <w:rPr>
          <w:i/>
          <w:iCs/>
        </w:rPr>
        <w:t xml:space="preserve">Online Learning for Latent</w:t>
      </w:r>
      <w:r>
        <w:rPr>
          <w:i/>
          <w:iCs/>
        </w:rPr>
        <w:t xml:space="preserve"> </w:t>
      </w:r>
      <w:r>
        <w:rPr>
          <w:i/>
          <w:iCs/>
        </w:rPr>
        <w:t xml:space="preserve">Dirichlet</w:t>
      </w:r>
      <w:r>
        <w:rPr>
          <w:i/>
          <w:iCs/>
        </w:rPr>
        <w:t xml:space="preserve"> </w:t>
      </w:r>
      <w:r>
        <w:rPr>
          <w:i/>
          <w:iCs/>
        </w:rPr>
        <w:t xml:space="preserve">Allocation</w:t>
      </w:r>
      <w:r>
        <w:t xml:space="preserve">. 23: 856–64.</w:t>
      </w:r>
      <w:r>
        <w:t xml:space="preserve"> </w:t>
      </w:r>
      <w:hyperlink r:id="rId28">
        <w:r>
          <w:rPr>
            <w:rStyle w:val="Hyperlink"/>
          </w:rPr>
          <w:t xml:space="preserve">https://papers.nips.cc/paper/3902-online-learning-for-latent-dirichlet-allocation</w:t>
        </w:r>
      </w:hyperlink>
      <w:r>
        <w:t xml:space="preserve">.</w:t>
      </w:r>
    </w:p>
    <w:bookmarkEnd w:id="29"/>
    <w:bookmarkStart w:id="31" w:name="ref-koltchinskii2000empirical"/>
    <w:p>
      <w:pPr>
        <w:pStyle w:val="Bibliography"/>
      </w:pPr>
      <w:r>
        <w:t xml:space="preserve">Koltchinskii, Vladimir, and Dmitriy Panchenko. 2002.</w:t>
      </w:r>
      <w:r>
        <w:t xml:space="preserve"> </w:t>
      </w:r>
      <w:r>
        <w:t xml:space="preserve">“Empirical Margin Distributions and Bounding the Generalization Error of Combined Classifiers.”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30 (1): 1–50.</w:t>
      </w:r>
      <w:r>
        <w:t xml:space="preserve"> </w:t>
      </w:r>
      <w:hyperlink r:id="rId30">
        <w:r>
          <w:rPr>
            <w:rStyle w:val="Hyperlink"/>
          </w:rPr>
          <w:t xml:space="preserve">https://doi.org/10.1214/aos/1015362183</w:t>
        </w:r>
      </w:hyperlink>
      <w:r>
        <w:t xml:space="preserve">.</w:t>
      </w:r>
    </w:p>
    <w:bookmarkEnd w:id="31"/>
    <w:bookmarkStart w:id="33" w:name="ref-liu2019hsilda"/>
    <w:p>
      <w:pPr>
        <w:pStyle w:val="Bibliography"/>
      </w:pPr>
      <w:r>
        <w:t xml:space="preserve">Liu, Lei, Chunhui Wang, Bo Du, and Hanjiang Lai. 2019.</w:t>
      </w:r>
      <w:r>
        <w:t xml:space="preserve"> </w:t>
      </w:r>
      <w:r>
        <w:t xml:space="preserve">“A 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Allocation-Based Local Spectral-Spatial Hyperspectral Image Classification Method.”</w:t>
      </w:r>
      <w:r>
        <w:t xml:space="preserve"> </w:t>
      </w:r>
      <w:r>
        <w:rPr>
          <w:i/>
          <w:iCs/>
        </w:rPr>
        <w:t xml:space="preserve">IEEE Geoscience and Remote Sensing Letters</w:t>
      </w:r>
      <w:r>
        <w:t xml:space="preserve"> </w:t>
      </w:r>
      <w:r>
        <w:t xml:space="preserve">16 (6): 935–39.</w:t>
      </w:r>
      <w:r>
        <w:t xml:space="preserve"> </w:t>
      </w:r>
      <w:hyperlink r:id="rId32">
        <w:r>
          <w:rPr>
            <w:rStyle w:val="Hyperlink"/>
          </w:rPr>
          <w:t xml:space="preserve">https://doi.org/10.1109/LGRS.2018.2887112</w:t>
        </w:r>
      </w:hyperlink>
      <w:r>
        <w:t xml:space="preserve">.</w:t>
      </w:r>
    </w:p>
    <w:bookmarkEnd w:id="33"/>
    <w:bookmarkStart w:id="35" w:name="ref-nascimento2005vca"/>
    <w:p>
      <w:pPr>
        <w:pStyle w:val="Bibliography"/>
      </w:pPr>
      <w:r>
        <w:t xml:space="preserve">Nascimento, José M. P., and José M. Bioucas-Dias. 2005.</w:t>
      </w:r>
      <w:r>
        <w:t xml:space="preserve"> </w:t>
      </w:r>
      <w:r>
        <w:t xml:space="preserve">“Vertex Component Analysis:</w:t>
      </w:r>
      <w:r>
        <w:t xml:space="preserve"> </w:t>
      </w:r>
      <w:r>
        <w:t xml:space="preserve">A</w:t>
      </w:r>
      <w:r>
        <w:t xml:space="preserve"> </w:t>
      </w:r>
      <w:r>
        <w:t xml:space="preserve">Fast Algorithm to Unmix Hyperspectral Data.”</w:t>
      </w:r>
      <w:r>
        <w:t xml:space="preserve"> </w:t>
      </w:r>
      <w:r>
        <w:rPr>
          <w:i/>
          <w:iCs/>
        </w:rPr>
        <w:t xml:space="preserve">IEEE Transactions on Geoscience and Remote Sensing</w:t>
      </w:r>
      <w:r>
        <w:t xml:space="preserve"> </w:t>
      </w:r>
      <w:r>
        <w:t xml:space="preserve">43 (4): 898–910.</w:t>
      </w:r>
      <w:r>
        <w:t xml:space="preserve"> </w:t>
      </w:r>
      <w:hyperlink r:id="rId34">
        <w:r>
          <w:rPr>
            <w:rStyle w:val="Hyperlink"/>
          </w:rPr>
          <w:t xml:space="preserve">https://doi.org/10.1109/TGRS.2005.844293</w:t>
        </w:r>
      </w:hyperlink>
      <w:r>
        <w:t xml:space="preserve">.</w:t>
      </w:r>
    </w:p>
    <w:bookmarkEnd w:id="35"/>
    <w:bookmarkStart w:id="37" w:name="ref-paoletti2019deep"/>
    <w:p>
      <w:pPr>
        <w:pStyle w:val="Bibliography"/>
      </w:pPr>
      <w:r>
        <w:t xml:space="preserve">Paoletti, Mercedes E., Juan Mario Haut, Javier Plaza, and Antonio Plaza. 2019.</w:t>
      </w:r>
      <w:r>
        <w:t xml:space="preserve"> </w:t>
      </w:r>
      <w:r>
        <w:t xml:space="preserve">“Deep Learning Classifiers for Hyperspectral Imaging:</w:t>
      </w:r>
      <w:r>
        <w:t xml:space="preserve"> </w:t>
      </w:r>
      <w:r>
        <w:t xml:space="preserve">A</w:t>
      </w:r>
      <w:r>
        <w:t xml:space="preserve"> </w:t>
      </w:r>
      <w:r>
        <w:t xml:space="preserve">Review.”</w:t>
      </w:r>
      <w:r>
        <w:t xml:space="preserve"> </w:t>
      </w:r>
      <w:r>
        <w:rPr>
          <w:i/>
          <w:iCs/>
        </w:rPr>
        <w:t xml:space="preserve">ISPRS Journal of Photogrammetry and Remote Sensing</w:t>
      </w:r>
      <w:r>
        <w:t xml:space="preserve"> </w:t>
      </w:r>
      <w:r>
        <w:t xml:space="preserve">158: 279–317.</w:t>
      </w:r>
      <w:r>
        <w:t xml:space="preserve"> </w:t>
      </w:r>
      <w:hyperlink r:id="rId36">
        <w:r>
          <w:rPr>
            <w:rStyle w:val="Hyperlink"/>
          </w:rPr>
          <w:t xml:space="preserve">https://doi.org/10.1016/j.isprsjprs.2019.09.006</w:t>
        </w:r>
      </w:hyperlink>
      <w:r>
        <w:t xml:space="preserve">.</w:t>
      </w:r>
    </w:p>
    <w:bookmarkEnd w:id="37"/>
    <w:bookmarkStart w:id="39" w:name="ref-roder2015exploring"/>
    <w:p>
      <w:pPr>
        <w:pStyle w:val="Bibliography"/>
      </w:pPr>
      <w:r>
        <w:t xml:space="preserve">Röder, Michael, Andreas Both, and Alexander Hinneburg. 2015.</w:t>
      </w:r>
      <w:r>
        <w:t xml:space="preserve"> </w:t>
      </w:r>
      <w:r>
        <w:t xml:space="preserve">“Exploring the Space of Topic Coherence Measures.”</w:t>
      </w:r>
      <w:r>
        <w:t xml:space="preserve"> </w:t>
      </w:r>
      <w:r>
        <w:rPr>
          <w:i/>
          <w:iCs/>
        </w:rPr>
        <w:t xml:space="preserve">Proceedings of the Eighth ACM International Conference on Web Search and Data Mining (WSDM)</w:t>
      </w:r>
      <w:r>
        <w:t xml:space="preserve">, 399–408.</w:t>
      </w:r>
      <w:r>
        <w:t xml:space="preserve"> </w:t>
      </w:r>
      <w:hyperlink r:id="rId38">
        <w:r>
          <w:rPr>
            <w:rStyle w:val="Hyperlink"/>
          </w:rPr>
          <w:t xml:space="preserve">https://doi.org/10.1145/2684822.2685324</w:t>
        </w:r>
      </w:hyperlink>
      <w:r>
        <w:t xml:space="preserve">.</w:t>
      </w:r>
    </w:p>
    <w:bookmarkEnd w:id="39"/>
    <w:bookmarkStart w:id="41" w:name="ref-srivastava2017autoencoding"/>
    <w:p>
      <w:pPr>
        <w:pStyle w:val="Bibliography"/>
      </w:pPr>
      <w:r>
        <w:t xml:space="preserve">Srivastava, Akash, and Charles Sutton. 2017.</w:t>
      </w:r>
      <w:r>
        <w:t xml:space="preserve"> </w:t>
      </w:r>
      <w:r>
        <w:t xml:space="preserve">“Autoencoding Variational Inference for Topic Models.”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https://openreview.net/forum?id=BybtVK9lg</w:t>
        </w:r>
      </w:hyperlink>
      <w:r>
        <w:t xml:space="preserve">.</w:t>
      </w:r>
    </w:p>
    <w:bookmarkEnd w:id="41"/>
    <w:bookmarkStart w:id="43" w:name="ref-vinh2010information"/>
    <w:p>
      <w:pPr>
        <w:pStyle w:val="Bibliography"/>
      </w:pPr>
      <w:r>
        <w:t xml:space="preserve">Vinh, Nguyen Xuan, Julien Epps, and James Bailey. 2010.</w:t>
      </w:r>
      <w:r>
        <w:t xml:space="preserve"> </w:t>
      </w:r>
      <w:r>
        <w:t xml:space="preserve">“Information Theoretic Measures for Clusterings Comparison: Variants, Properties, Normalization and Correction for Chance.”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11: 2837–54.</w:t>
      </w:r>
      <w:r>
        <w:t xml:space="preserve"> </w:t>
      </w:r>
      <w:hyperlink r:id="rId42">
        <w:r>
          <w:rPr>
            <w:rStyle w:val="Hyperlink"/>
          </w:rPr>
          <w:t xml:space="preserve">https://jmlr.org/papers/v11/vinh10a.html</w:t>
        </w:r>
      </w:hyperlink>
      <w:r>
        <w:t xml:space="preserve">.</w:t>
      </w:r>
    </w:p>
    <w:bookmarkEnd w:id="43"/>
    <w:bookmarkStart w:id="45" w:name="ref-zou2017pmlda"/>
    <w:p>
      <w:pPr>
        <w:pStyle w:val="Bibliography"/>
      </w:pPr>
      <w:r>
        <w:t xml:space="preserve">Zou, Sheng, and Alina Zare. 2017.</w:t>
      </w:r>
      <w:r>
        <w:t xml:space="preserve"> </w:t>
      </w:r>
      <w:r>
        <w:t xml:space="preserve">“A Continuous-Space Partial-Membership 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 Approach for Subpixel Hyperspectral Imagery.”</w:t>
      </w:r>
      <w:r>
        <w:t xml:space="preserve"> </w:t>
      </w:r>
      <w:r>
        <w:rPr>
          <w:i/>
          <w:iCs/>
        </w:rPr>
        <w:t xml:space="preserve">IEEE Transactions on Geoscience and Remote Sensing</w:t>
      </w:r>
      <w:r>
        <w:t xml:space="preserve"> </w:t>
      </w:r>
      <w:r>
        <w:t xml:space="preserve">55 (10): 5840–53.</w:t>
      </w:r>
      <w:r>
        <w:t xml:space="preserve"> </w:t>
      </w:r>
      <w:hyperlink r:id="rId44">
        <w:r>
          <w:rPr>
            <w:rStyle w:val="Hyperlink"/>
          </w:rPr>
          <w:t xml:space="preserve">https://doi.org/10.1109/TGRS.2017.2715350</w:t>
        </w:r>
      </w:hyperlink>
      <w:r>
        <w:t xml:space="preserve">.</w:t>
      </w:r>
    </w:p>
    <w:bookmarkEnd w:id="45"/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doi.org/10.1016/j.isprsjprs.2019.09.006" TargetMode="External" /><Relationship Type="http://schemas.openxmlformats.org/officeDocument/2006/relationships/hyperlink" Id="rId26" Target="https://doi.org/10.1073/pnas.0307752101" TargetMode="External" /><Relationship Type="http://schemas.openxmlformats.org/officeDocument/2006/relationships/hyperlink" Id="rId18" Target="https://doi.org/10.1109/JSTARS.2012.2194696" TargetMode="External" /><Relationship Type="http://schemas.openxmlformats.org/officeDocument/2006/relationships/hyperlink" Id="rId22" Target="https://doi.org/10.1109/JSTARS.2014.2329330" TargetMode="External" /><Relationship Type="http://schemas.openxmlformats.org/officeDocument/2006/relationships/hyperlink" Id="rId32" Target="https://doi.org/10.1109/LGRS.2018.2887112" TargetMode="External" /><Relationship Type="http://schemas.openxmlformats.org/officeDocument/2006/relationships/hyperlink" Id="rId34" Target="https://doi.org/10.1109/TGRS.2005.844293" TargetMode="External" /><Relationship Type="http://schemas.openxmlformats.org/officeDocument/2006/relationships/hyperlink" Id="rId44" Target="https://doi.org/10.1109/TGRS.2017.2715350" TargetMode="External" /><Relationship Type="http://schemas.openxmlformats.org/officeDocument/2006/relationships/hyperlink" Id="rId38" Target="https://doi.org/10.1145/2684822.2685324" TargetMode="External" /><Relationship Type="http://schemas.openxmlformats.org/officeDocument/2006/relationships/hyperlink" Id="rId24" Target="https://doi.org/10.1162/tacl_a_00325" TargetMode="External" /><Relationship Type="http://schemas.openxmlformats.org/officeDocument/2006/relationships/hyperlink" Id="rId30" Target="https://doi.org/10.1214/aos/1015362183" TargetMode="External" /><Relationship Type="http://schemas.openxmlformats.org/officeDocument/2006/relationships/hyperlink" Id="rId42" Target="https://jmlr.org/papers/v11/vinh10a.html" TargetMode="External" /><Relationship Type="http://schemas.openxmlformats.org/officeDocument/2006/relationships/hyperlink" Id="rId20" Target="https://jmlr.org/papers/v3/blei03a.html" TargetMode="External" /><Relationship Type="http://schemas.openxmlformats.org/officeDocument/2006/relationships/hyperlink" Id="rId40" Target="https://openreview.net/forum?id=BybtVK9lg" TargetMode="External" /><Relationship Type="http://schemas.openxmlformats.org/officeDocument/2006/relationships/hyperlink" Id="rId28" Target="https://papers.nips.cc/paper/3902-online-learning-for-latent-dirichlet-alloc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oi.org/10.1016/j.isprsjprs.2019.09.006" TargetMode="External" /><Relationship Type="http://schemas.openxmlformats.org/officeDocument/2006/relationships/hyperlink" Id="rId26" Target="https://doi.org/10.1073/pnas.0307752101" TargetMode="External" /><Relationship Type="http://schemas.openxmlformats.org/officeDocument/2006/relationships/hyperlink" Id="rId18" Target="https://doi.org/10.1109/JSTARS.2012.2194696" TargetMode="External" /><Relationship Type="http://schemas.openxmlformats.org/officeDocument/2006/relationships/hyperlink" Id="rId22" Target="https://doi.org/10.1109/JSTARS.2014.2329330" TargetMode="External" /><Relationship Type="http://schemas.openxmlformats.org/officeDocument/2006/relationships/hyperlink" Id="rId32" Target="https://doi.org/10.1109/LGRS.2018.2887112" TargetMode="External" /><Relationship Type="http://schemas.openxmlformats.org/officeDocument/2006/relationships/hyperlink" Id="rId34" Target="https://doi.org/10.1109/TGRS.2005.844293" TargetMode="External" /><Relationship Type="http://schemas.openxmlformats.org/officeDocument/2006/relationships/hyperlink" Id="rId44" Target="https://doi.org/10.1109/TGRS.2017.2715350" TargetMode="External" /><Relationship Type="http://schemas.openxmlformats.org/officeDocument/2006/relationships/hyperlink" Id="rId38" Target="https://doi.org/10.1145/2684822.2685324" TargetMode="External" /><Relationship Type="http://schemas.openxmlformats.org/officeDocument/2006/relationships/hyperlink" Id="rId24" Target="https://doi.org/10.1162/tacl_a_00325" TargetMode="External" /><Relationship Type="http://schemas.openxmlformats.org/officeDocument/2006/relationships/hyperlink" Id="rId30" Target="https://doi.org/10.1214/aos/1015362183" TargetMode="External" /><Relationship Type="http://schemas.openxmlformats.org/officeDocument/2006/relationships/hyperlink" Id="rId42" Target="https://jmlr.org/papers/v11/vinh10a.html" TargetMode="External" /><Relationship Type="http://schemas.openxmlformats.org/officeDocument/2006/relationships/hyperlink" Id="rId20" Target="https://jmlr.org/papers/v3/blei03a.html" TargetMode="External" /><Relationship Type="http://schemas.openxmlformats.org/officeDocument/2006/relationships/hyperlink" Id="rId40" Target="https://openreview.net/forum?id=BybtVK9lg" TargetMode="External" /><Relationship Type="http://schemas.openxmlformats.org/officeDocument/2006/relationships/hyperlink" Id="rId28" Target="https://papers.nips.cc/paper/3902-online-learning-for-latent-dirichlet-alloc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A — Extended motivation for the band-mask robustness diagnostic Companion to: A Band-Mask Robustness Diagnostic for LDA on HSI (WHISPERS 2026)</dc:title>
  <dc:creator>Felipe Santibáñez-Leal</dc:creator>
  <cp:keywords/>
  <dcterms:created xsi:type="dcterms:W3CDTF">2026-05-15T12:26:50Z</dcterms:created>
  <dcterms:modified xsi:type="dcterms:W3CDTF">2026-05-15T12:26:50Z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D:\_Repos\_Web_Projects\CAOS_LDA_HSI_Paper\bibliography\refs.bib</vt:lpwstr>
  </property>
  <property fmtid="{D5CDD505-2E9C-101B-9397-08002B2CF9AE}" pid="3" name="date">
    <vt:lpwstr>2026</vt:lpwstr>
  </property>
</Properties>
</file>