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A — The accuracy-only view and why it fails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Accuracy: A Multi-Axis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Framework for Interpretable Topic Models on HSI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expands Section I of the journal paper. We provide</w:t>
      </w:r>
      <w:r>
        <w:t xml:space="preserve"> </w:t>
      </w:r>
      <w:r>
        <w:t xml:space="preserve">(a) a longer historical account of how the HSI community arrived at</w:t>
      </w:r>
      <w:r>
        <w:t xml:space="preserve"> </w:t>
      </w:r>
      <w:r>
        <w:t xml:space="preserve">the accuracy-only evaluation discipline, (b) five concrete examples</w:t>
      </w:r>
      <w:r>
        <w:t xml:space="preserve"> </w:t>
      </w:r>
      <w:r>
        <w:t xml:space="preserve">in which a single OA number hides materially different model</w:t>
      </w:r>
      <w:r>
        <w:t xml:space="preserve"> </w:t>
      </w:r>
      <w:r>
        <w:t xml:space="preserve">behaviours, (c) the philosophical commitment that distinguishes</w:t>
      </w:r>
      <w:r>
        <w:t xml:space="preserve"> </w:t>
      </w:r>
      <w:r>
        <w:rPr>
          <w:i/>
          <w:iCs/>
        </w:rPr>
        <w:t xml:space="preserve">interpretability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post-hoc explanation</w:t>
      </w:r>
      <w:r>
        <w:t xml:space="preserve">, and</w:t>
      </w:r>
      <w:r>
        <w:t xml:space="preserve"> </w:t>
      </w:r>
      <w:r>
        <w:t xml:space="preserve">(d) the framing that motivates a twelve-axis framework rather than</w:t>
      </w:r>
      <w:r>
        <w:t xml:space="preserve"> </w:t>
      </w:r>
      <w:r>
        <w:t xml:space="preserve">a smaller or larger one.</w:t>
      </w:r>
    </w:p>
    <w:bookmarkEnd w:id="9"/>
    <w:bookmarkStart w:id="10" w:name="how-the-field-arrived-at-oa-as-summary"/>
    <w:p>
      <w:pPr>
        <w:pStyle w:val="Heading1"/>
      </w:pPr>
      <w:r>
        <w:t xml:space="preserve">How the field arrived at OA-as-summary</w:t>
      </w:r>
    </w:p>
    <w:p>
      <w:pPr>
        <w:pStyle w:val="FirstParagraph"/>
      </w:pPr>
      <w:r>
        <w:t xml:space="preserve">The earliest HSI classification papers</w:t>
      </w:r>
      <w:r>
        <w:t xml:space="preserve"> </w:t>
      </w:r>
      <w:r>
        <w:t xml:space="preserve">(Plaza et al. 2009; Camps-Valls et al. 2014)</w:t>
      </w:r>
      <w:r>
        <w:t xml:space="preserve"> </w:t>
      </w:r>
      <w:r>
        <w:t xml:space="preserve">settled on overall accuracy</w:t>
      </w:r>
      <w:r>
        <w:t xml:space="preserve"> </w:t>
      </w:r>
      <w:r>
        <w:t xml:space="preserve">(OA) and kappa as the canonical summary because the underlying task</w:t>
      </w:r>
      <w:r>
        <w:t xml:space="preserve"> </w:t>
      </w:r>
      <w:r>
        <w:t xml:space="preserve">was assumed to be</w:t>
      </w:r>
      <w:r>
        <w:t xml:space="preserve"> </w:t>
      </w:r>
      <w:r>
        <w:rPr>
          <w:i/>
          <w:iCs/>
        </w:rPr>
        <w:t xml:space="preserve">closed-set supervised classification</w:t>
      </w:r>
      <w:r>
        <w:t xml:space="preserve">: given</w:t>
      </w:r>
      <w:r>
        <w:t xml:space="preserve"> </w:t>
      </w:r>
      <w:r>
        <w:t xml:space="preserve">a labelled benchmark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classes, predict the class of each</w:t>
      </w:r>
      <w:r>
        <w:t xml:space="preserve"> </w:t>
      </w:r>
      <w:r>
        <w:t xml:space="preserve">unlabelled pixel; report the fraction correct. Under this</w:t>
      </w:r>
      <w:r>
        <w:t xml:space="preserve"> </w:t>
      </w:r>
      <w:r>
        <w:t xml:space="preserve">assumption OA is monotone in the quantity the practitioner cares</w:t>
      </w:r>
      <w:r>
        <w:t xml:space="preserve"> </w:t>
      </w:r>
      <w:r>
        <w:t xml:space="preserve">about (predictive accuracy) and the kappa adjustment handles class</w:t>
      </w:r>
      <w:r>
        <w:t xml:space="preserve"> </w:t>
      </w:r>
      <w:r>
        <w:t xml:space="preserve">imbalance. Subsequent work imported the OA discipline wholesale into</w:t>
      </w:r>
      <w:r>
        <w:t xml:space="preserve"> </w:t>
      </w:r>
      <w:r>
        <w:rPr>
          <w:i/>
          <w:iCs/>
        </w:rPr>
        <w:t xml:space="preserve">unsupervised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interpretability-motivated</w:t>
      </w:r>
      <w:r>
        <w:t xml:space="preserve"> </w:t>
      </w:r>
      <w:r>
        <w:t xml:space="preserve">settings</w:t>
      </w:r>
      <w:r>
        <w:t xml:space="preserve"> </w:t>
      </w:r>
      <w:r>
        <w:t xml:space="preserve">where the quantity the practitioner cares about is different.</w:t>
      </w:r>
    </w:p>
    <w:p>
      <w:pPr>
        <w:pStyle w:val="BodyText"/>
      </w:pPr>
      <w:r>
        <w:t xml:space="preserve">Linear unmixing </w:t>
      </w:r>
      <w:r>
        <w:t xml:space="preserve">(Nascimento and Bioucas-Dias 2005; Bioucas-Dias et al. 2012)</w:t>
      </w:r>
      <w:r>
        <w:t xml:space="preserve"> </w:t>
      </w:r>
      <w:r>
        <w:t xml:space="preserve">imported OA-style reporting via downstream classification of</w:t>
      </w:r>
      <w:r>
        <w:t xml:space="preserve"> </w:t>
      </w:r>
      <w:r>
        <w:t xml:space="preserve">predicted abundance vectors. Deep classification papers</w:t>
      </w:r>
      <w:r>
        <w:t xml:space="preserve"> </w:t>
      </w:r>
      <w:r>
        <w:t xml:space="preserve">(Chen et al. 2014; Paoletti et al. 2019)</w:t>
      </w:r>
      <w:r>
        <w:t xml:space="preserve"> </w:t>
      </w:r>
      <w:r>
        <w:t xml:space="preserve">continued the OA tradition.</w:t>
      </w:r>
      <w:r>
        <w:t xml:space="preserve"> </w:t>
      </w:r>
      <w:r>
        <w:t xml:space="preserve">Topic-model adaptations to HSI </w:t>
      </w:r>
      <w:r>
        <w:t xml:space="preserve">(Zou and Zare 2017; Liu et al. 2019)</w:t>
      </w:r>
      <w:r>
        <w:t xml:space="preserve"> </w:t>
      </w:r>
      <w:r>
        <w:t xml:space="preserve">inherited OA from both ancestors. The price of this inheritance is</w:t>
      </w:r>
      <w:r>
        <w:t xml:space="preserve"> </w:t>
      </w:r>
      <w:r>
        <w:t xml:space="preserve">that the OA number cannot itself answer the question</w:t>
      </w:r>
      <w:r>
        <w:t xml:space="preserve"> </w:t>
      </w:r>
      <w:r>
        <w:rPr>
          <w:i/>
          <w:iCs/>
        </w:rPr>
        <w:t xml:space="preserve">“why is this topic basis interpretable?”</w:t>
      </w:r>
      <w:r>
        <w:t xml:space="preserve"> </w:t>
      </w:r>
      <w:r>
        <w:t xml:space="preserve">— because the</w:t>
      </w:r>
      <w:r>
        <w:t xml:space="preserve"> </w:t>
      </w:r>
      <w:r>
        <w:t xml:space="preserve">question is not what OA measures.</w:t>
      </w:r>
    </w:p>
    <w:bookmarkEnd w:id="10"/>
    <w:bookmarkStart w:id="16" w:name="X53ec6bfaa5d9602f404fa4cf3097413727716fc"/>
    <w:p>
      <w:pPr>
        <w:pStyle w:val="Heading1"/>
      </w:pPr>
      <w:r>
        <w:t xml:space="preserve">Five concrete examples of OA hiding bad behaviour</w:t>
      </w:r>
    </w:p>
    <w:bookmarkStart w:id="11" w:name="example-1-seed-collapsed-prodlda."/>
    <w:p>
      <w:pPr>
        <w:pStyle w:val="Heading4"/>
      </w:pPr>
      <w:r>
        <w:t xml:space="preserve">Example 1: seed-collapsed ProdLDA.</w:t>
      </w:r>
    </w:p>
    <w:p>
      <w:pPr>
        <w:pStyle w:val="FirstParagraph"/>
      </w:pPr>
      <w:r>
        <w:t xml:space="preserve">ProdLDA fits on</w:t>
      </w:r>
      <w:r>
        <w:t xml:space="preserve"> </w:t>
      </w:r>
      <w:r>
        <w:t xml:space="preserve">Indian Pines under five seeds yield ARI standard deviation</w:t>
      </w:r>
      <w:r>
        <w:t xml:space="preserve"> </w:t>
      </w:r>
      <m:oMath>
        <m:r>
          <m:t>0.003</m:t>
        </m:r>
      </m:oMath>
      <w:r>
        <w:t xml:space="preserve"> </w:t>
      </w:r>
      <w:r>
        <w:t xml:space="preserve">across seeds (extremely stable) and per-seed ARI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0.17</w:t>
      </w:r>
      <w:r>
        <w:t xml:space="preserve"> </w:t>
      </w:r>
      <w:r>
        <w:t xml:space="preserve">(weak class discrimination). A single ProdLDA OA number averaged</w:t>
      </w:r>
      <w:r>
        <w:t xml:space="preserve"> </w:t>
      </w:r>
      <w:r>
        <w:t xml:space="preserve">over seeds would be honest but uninformative; the practitioner needs</w:t>
      </w:r>
      <w:r>
        <w:t xml:space="preserve"> </w:t>
      </w:r>
      <w:r>
        <w:t xml:space="preserve">to see both the stability and the level.</w:t>
      </w:r>
    </w:p>
    <w:bookmarkEnd w:id="11"/>
    <w:bookmarkStart w:id="12" w:name="X021253f0d06a6fe332d9f62b0c4826358ea8f4c"/>
    <w:p>
      <w:pPr>
        <w:pStyle w:val="Heading4"/>
      </w:pPr>
      <w:r>
        <w:t xml:space="preserve">Example 2: high-OA on weakly identified topics.</w:t>
      </w:r>
    </w:p>
    <w:p>
      <w:pPr>
        <w:pStyle w:val="FirstParagraph"/>
      </w:pPr>
      <w:r>
        <w:t xml:space="preserve">KSC under a 13-class supervised baseline reaches OA</w:t>
      </w:r>
      <w:r>
        <w:t xml:space="preserve"> </w:t>
      </w:r>
      <m:oMath>
        <m:r>
          <m:rPr>
            <m:sty m:val="p"/>
          </m:rPr>
          <m:t>&gt;</m:t>
        </m:r>
        <m:r>
          <m:t>0.9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canonical fold; the same KSC under our band-mask diagnostic returns</w:t>
      </w:r>
      <w:r>
        <w:t xml:space="preserve"> </w:t>
      </w:r>
      <w:r>
        <w:t xml:space="preserve">paired ARI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. A KSC paper that reports only OA would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like a strong contribution; the topic basis driving the</w:t>
      </w:r>
      <w:r>
        <w:t xml:space="preserve"> </w:t>
      </w:r>
      <w:r>
        <w:t xml:space="preserve">classification is, however, band-fragile.</w:t>
      </w:r>
    </w:p>
    <w:bookmarkEnd w:id="12"/>
    <w:bookmarkStart w:id="13" w:name="example-3-hidsag-inversion."/>
    <w:p>
      <w:pPr>
        <w:pStyle w:val="Heading4"/>
      </w:pPr>
      <w:r>
        <w:t xml:space="preserve">Example 3: HIDSAG inversion.</w:t>
      </w:r>
    </w:p>
    <w:p>
      <w:pPr>
        <w:pStyle w:val="FirstParagraph"/>
      </w:pPr>
      <w:r>
        <w:t xml:space="preserve">On the labelled scenes the</w:t>
      </w:r>
      <w:r>
        <w:t xml:space="preserve"> </w:t>
      </w:r>
      <w:r>
        <w:t xml:space="preserve">topic-routed-soft classifier is statistically indistinguishable from</w:t>
      </w:r>
      <w:r>
        <w:t xml:space="preserve"> </w:t>
      </w:r>
      <w:r>
        <w:t xml:space="preserve">the raw-spectrum logistic baseline. On HIDSAG the topic-logistic</w:t>
      </w:r>
      <w:r>
        <w:t xml:space="preserve"> </w:t>
      </w:r>
      <w:r>
        <w:t xml:space="preserve">classifier sits at posterior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0.316</m:t>
        </m:r>
      </m:oMath>
      <w:r>
        <w:t xml:space="preserve"> </w:t>
      </w:r>
      <w:r>
        <w:t xml:space="preserve">vs raw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0.585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topic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raw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</m:t>
        </m:r>
      </m:oMath>
      <w:r>
        <w:t xml:space="preserve">. The labelled-scene</w:t>
      </w:r>
      <w:r>
        <w:t xml:space="preserve"> </w:t>
      </w:r>
      <w:r>
        <w:t xml:space="preserve">OA number would lead a practitioner to deploy the topic</w:t>
      </w:r>
      <w:r>
        <w:t xml:space="preserve"> </w:t>
      </w:r>
      <w:r>
        <w:t xml:space="preserve">representation on HIDSAG; the hierarchical model says that decision</w:t>
      </w:r>
      <w:r>
        <w:t xml:space="preserve"> </w:t>
      </w:r>
      <w:r>
        <w:t xml:space="preserve">is wrong.</w:t>
      </w:r>
    </w:p>
    <w:bookmarkEnd w:id="13"/>
    <w:bookmarkStart w:id="14" w:name="example-4-coherence-vs-ari-flip."/>
    <w:p>
      <w:pPr>
        <w:pStyle w:val="Heading4"/>
      </w:pPr>
      <w:r>
        <w:t xml:space="preserve">Example 4: coherence-vs-ARI flip.</w:t>
      </w:r>
    </w:p>
    <w:p>
      <w:pPr>
        <w:pStyle w:val="FirstParagraph"/>
      </w:pPr>
      <w:r>
        <w:t xml:space="preserve">ProdLDA’s</w:t>
      </w:r>
      <w:r>
        <w:t xml:space="preserve"> </w:t>
      </w:r>
      <w:r>
        <w:t xml:space="preserve">top-</w:t>
      </w:r>
      <m:oMath>
        <m:r>
          <m:t>15</m:t>
        </m:r>
      </m:oMath>
      <w:r>
        <w:t xml:space="preserve">-word coherence is the highest on Indian Pines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0.630</m:t>
        </m:r>
      </m:oMath>
      <w:r>
        <w:t xml:space="preserve">), but its cluster-vs-label ARI is the lowest</w:t>
      </w:r>
      <w:r>
        <w:t xml:space="preserve"> </w:t>
      </w:r>
      <w:r>
        <w:t xml:space="preserve">(</w:t>
      </w:r>
      <m:oMath>
        <m:r>
          <m:t>0.165</m:t>
        </m:r>
      </m:oMath>
      <w:r>
        <w:t xml:space="preserve">). A practitioner who picks ProdLDA on the basis of</w:t>
      </w:r>
      <w:r>
        <w:t xml:space="preserve"> </w:t>
      </w:r>
      <w:r>
        <w:t xml:space="preserve">coherence gets a different downstream behaviour than one who picks</w:t>
      </w:r>
      <w:r>
        <w:t xml:space="preserve"> </w:t>
      </w:r>
      <w:r>
        <w:t xml:space="preserve">on the basis of clustering quality.</w:t>
      </w:r>
    </w:p>
    <w:bookmarkEnd w:id="14"/>
    <w:bookmarkStart w:id="15" w:name="Xd6abeb75cc14e64386c061787bd158098947da3"/>
    <w:p>
      <w:pPr>
        <w:pStyle w:val="Heading4"/>
      </w:pPr>
      <w:r>
        <w:t xml:space="preserve">Example 5: SLIC vs topic-dominant cross-method</w:t>
      </w:r>
      <w:r>
        <w:t xml:space="preserve"> </w:t>
      </w:r>
      <w:r>
        <w:t xml:space="preserve">disagreement.</w:t>
      </w:r>
    </w:p>
    <w:p>
      <w:pPr>
        <w:pStyle w:val="FirstParagraph"/>
      </w:pPr>
      <w:r>
        <w:t xml:space="preserve">On Indian Pines SLIC-500 and the canonical topic</w:t>
      </w:r>
      <w:r>
        <w:t xml:space="preserve"> </w:t>
      </w:r>
      <w:r>
        <w:t xml:space="preserve">dominant map have pairwise ARI of</w:t>
      </w:r>
      <w:r>
        <w:t xml:space="preserve"> </w:t>
      </w:r>
      <m:oMath>
        <m:r>
          <m:t>0.039</m:t>
        </m:r>
      </m:oMath>
      <w:r>
        <w:t xml:space="preserve"> </w:t>
      </w:r>
      <w:r>
        <w:t xml:space="preserve">— i.e. the two</w:t>
      </w:r>
      <w:r>
        <w:t xml:space="preserve"> </w:t>
      </w:r>
      <w:r>
        <w:t xml:space="preserve">“unsupervised partitions”</w:t>
      </w:r>
      <w:r>
        <w:t xml:space="preserve"> </w:t>
      </w:r>
      <w:r>
        <w:t xml:space="preserve">of the same scene disagree almost</w:t>
      </w:r>
      <w:r>
        <w:t xml:space="preserve"> </w:t>
      </w:r>
      <w:r>
        <w:t xml:space="preserve">completely on which pixels belong to which segment. The OA of</w:t>
      </w:r>
      <w:r>
        <w:t xml:space="preserve"> </w:t>
      </w:r>
      <w:r>
        <w:t xml:space="preserve">either method against ground truth does not surface this</w:t>
      </w:r>
      <w:r>
        <w:t xml:space="preserve"> </w:t>
      </w:r>
      <w:r>
        <w:t xml:space="preserve">disagreement; the cross-method ARI matrix does.</w:t>
      </w:r>
    </w:p>
    <w:bookmarkEnd w:id="15"/>
    <w:bookmarkEnd w:id="16"/>
    <w:bookmarkStart w:id="17" w:name="Xb9db158d1f222bce4c6b48a376444bc349b0489"/>
    <w:p>
      <w:pPr>
        <w:pStyle w:val="Heading1"/>
      </w:pPr>
      <w:r>
        <w:t xml:space="preserve">Interpretability versus post-hoc explanation</w:t>
      </w:r>
    </w:p>
    <w:p>
      <w:pPr>
        <w:pStyle w:val="FirstParagraph"/>
      </w:pPr>
      <w:r>
        <w:t xml:space="preserve">There is a methodological distinction we want to preserve.</w:t>
      </w:r>
      <w:r>
        <w:t xml:space="preserve"> </w:t>
      </w:r>
      <w:r>
        <w:rPr>
          <w:i/>
          <w:iCs/>
        </w:rPr>
        <w:t xml:space="preserve">Interpretability</w:t>
      </w:r>
      <w:r>
        <w:t xml:space="preserve"> </w:t>
      </w:r>
      <w:r>
        <w:t xml:space="preserve">is a property of the model itself: a topic</w:t>
      </w:r>
      <w:r>
        <w:t xml:space="preserve"> </w:t>
      </w:r>
      <w:r>
        <w:t xml:space="preserve">basis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interpretable if every element of the</w:t>
      </w:r>
      <w:r>
        <w:t xml:space="preserve"> </w:t>
      </w:r>
      <w:r>
        <w:t xml:space="preserve">parameterisation has a meaning the practitioner can read off the</w:t>
      </w:r>
      <w:r>
        <w:t xml:space="preserve"> </w:t>
      </w:r>
      <w:r>
        <w:t xml:space="preserve">parameter.</w:t>
      </w:r>
      <w:r>
        <w:t xml:space="preserve"> </w:t>
      </w:r>
      <w:r>
        <w:rPr>
          <w:i/>
          <w:iCs/>
        </w:rPr>
        <w:t xml:space="preserve">Post-hoc explanation</w:t>
      </w:r>
      <w:r>
        <w:t xml:space="preserve"> </w:t>
      </w:r>
      <w:r>
        <w:t xml:space="preserve">is a property of an attached</w:t>
      </w:r>
      <w:r>
        <w:t xml:space="preserve"> </w:t>
      </w:r>
      <w:r>
        <w:t xml:space="preserve">diagnostic: a feature-attribution map or an inverse-classification</w:t>
      </w:r>
      <w:r>
        <w:t xml:space="preserve"> </w:t>
      </w:r>
      <w:r>
        <w:t xml:space="preserve">view that approximates the model’s behaviour on a sample. Topic</w:t>
      </w:r>
      <w:r>
        <w:t xml:space="preserve"> </w:t>
      </w:r>
      <w:r>
        <w:t xml:space="preserve">models on HSI are advertised as belonging to the first category, but</w:t>
      </w:r>
      <w:r>
        <w:t xml:space="preserve"> </w:t>
      </w:r>
      <w:r>
        <w:t xml:space="preserve">in practice the published evaluations support only the second:</w:t>
      </w:r>
      <w:r>
        <w:t xml:space="preserve"> </w:t>
      </w:r>
      <w:r>
        <w:t xml:space="preserve">a high-OA topic model with a band-fragile basis is providing</w:t>
      </w:r>
      <w:r>
        <w:t xml:space="preserve"> </w:t>
      </w:r>
      <w:r>
        <w:t xml:space="preserve">post-hoc explanation, not interpretability.</w:t>
      </w:r>
    </w:p>
    <w:p>
      <w:pPr>
        <w:pStyle w:val="BodyText"/>
      </w:pPr>
      <w:r>
        <w:t xml:space="preserve">The twelve-axis framework defended in the journal paper restores the</w:t>
      </w:r>
      <w:r>
        <w:t xml:space="preserve"> </w:t>
      </w:r>
      <w:r>
        <w:t xml:space="preserve">first-category claim or denies it explicitly. A topic basis whose</w:t>
      </w:r>
      <w:r>
        <w:t xml:space="preserve"> </w:t>
      </w:r>
      <w:r>
        <w:t xml:space="preserve">twelve-axis card has stable, coherence-meaningful, band-robust, and</w:t>
      </w:r>
      <w:r>
        <w:t xml:space="preserve"> </w:t>
      </w:r>
      <w:r>
        <w:t xml:space="preserve">sample-stable rows admits the</w:t>
      </w:r>
      <w:r>
        <w:t xml:space="preserve"> </w:t>
      </w:r>
      <w:r>
        <w:rPr>
          <w:i/>
          <w:iCs/>
        </w:rPr>
        <w:t xml:space="preserve">“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a material-level meaning”</w:t>
      </w:r>
      <w:r>
        <w:t xml:space="preserve"> </w:t>
      </w:r>
      <w:r>
        <w:t xml:space="preserve">reading. A topic</w:t>
      </w:r>
      <w:r>
        <w:t xml:space="preserve"> </w:t>
      </w:r>
      <w:r>
        <w:t xml:space="preserve">basis whose card has any of those rows degenerate admits only the</w:t>
      </w:r>
      <w:r>
        <w:t xml:space="preserve"> </w:t>
      </w:r>
      <w:r>
        <w:rPr>
          <w:i/>
          <w:iCs/>
        </w:rPr>
        <w:t xml:space="preserve">“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useful feature for a downstream classifier”</w:t>
      </w:r>
      <w:r>
        <w:t xml:space="preserve"> </w:t>
      </w:r>
      <w:r>
        <w:t xml:space="preserve">reading — which is the post-hoc reading and is allowed, but should</w:t>
      </w:r>
      <w:r>
        <w:t xml:space="preserve"> </w:t>
      </w:r>
      <w:r>
        <w:t xml:space="preserve">be advertised as such.</w:t>
      </w:r>
    </w:p>
    <w:bookmarkEnd w:id="17"/>
    <w:bookmarkStart w:id="35" w:name="why-twelve-axes-not-five-or-fifty"/>
    <w:p>
      <w:pPr>
        <w:pStyle w:val="Heading1"/>
      </w:pPr>
      <w:r>
        <w:t xml:space="preserve">Why twelve axes, not five or fifty</w:t>
      </w:r>
    </w:p>
    <w:p>
      <w:pPr>
        <w:pStyle w:val="FirstParagraph"/>
      </w:pPr>
      <w:r>
        <w:t xml:space="preserve">The number twelve is not magic. It reflects the orthogonalisation</w:t>
      </w:r>
      <w:r>
        <w:t xml:space="preserve"> </w:t>
      </w:r>
      <w:r>
        <w:t xml:space="preserve">of all the evaluation questions the present project has needed to</w:t>
      </w:r>
      <w:r>
        <w:t xml:space="preserve"> </w:t>
      </w:r>
      <w:r>
        <w:t xml:space="preserve">ask over</w:t>
      </w:r>
      <w:r>
        <w:t xml:space="preserve"> </w:t>
      </w:r>
      <m:oMath>
        <m:r>
          <m:rPr>
            <m:sty m:val="p"/>
          </m:rPr>
          <m:t>∼</m:t>
        </m:r>
        <m:r>
          <m:t>150</m:t>
        </m:r>
      </m:oMath>
      <w:r>
        <w:t xml:space="preserve"> </w:t>
      </w:r>
      <w:r>
        <w:t xml:space="preserve">iterative cycles of working with the artefact</w:t>
      </w:r>
      <w:r>
        <w:t xml:space="preserve"> </w:t>
      </w:r>
      <w:r>
        <w:t xml:space="preserve">set. We checked four alternative counts: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Five axes (the OA + four corollaries view).</w:t>
      </w:r>
      <w:r>
        <w:t xml:space="preserve"> </w:t>
      </w:r>
      <w:r>
        <w:t xml:space="preserve">Insufficient. Drops cross-method agreement, topic–label coupling,</w:t>
      </w:r>
      <w:r>
        <w:t xml:space="preserve"> </w:t>
      </w:r>
      <w:r>
        <w:t xml:space="preserve">preprocessing robustness, cross-scene transfer.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Seven axes.</w:t>
      </w:r>
      <w:r>
        <w:t xml:space="preserve"> </w:t>
      </w:r>
      <w:r>
        <w:t xml:space="preserve">Drops preprocessing robustness (essential</w:t>
      </w:r>
      <w:r>
        <w:t xml:space="preserve"> </w:t>
      </w:r>
      <w:r>
        <w:t xml:space="preserve">on HIDSAG) and cross-scene transfer (essential when sensor families</w:t>
      </w:r>
      <w:r>
        <w:t xml:space="preserve"> </w:t>
      </w:r>
      <w:r>
        <w:t xml:space="preserve">overlap, e.g. AVIRIS Salinas / Salinas-A).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Twelve axes (selected).</w:t>
      </w:r>
      <w:r>
        <w:t xml:space="preserve"> </w:t>
      </w:r>
      <w:r>
        <w:t xml:space="preserve">The smallest set that yields a</w:t>
      </w:r>
      <w:r>
        <w:t xml:space="preserve"> </w:t>
      </w:r>
      <w:r>
        <w:t xml:space="preserve">distinct numeric per axis on the present benchmarks and admits a</w:t>
      </w:r>
      <w:r>
        <w:t xml:space="preserve"> </w:t>
      </w:r>
      <w:r>
        <w:t xml:space="preserve">deterministic builder per axis without overlapping builders.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Twenty-plus axes.</w:t>
      </w:r>
      <w:r>
        <w:t xml:space="preserve"> </w:t>
      </w:r>
      <w:r>
        <w:t xml:space="preserve">We considered splitting F-3 into</w:t>
      </w:r>
      <w:r>
        <w:t xml:space="preserve"> </w:t>
      </w:r>
      <w:r>
        <w:t xml:space="preserve">inferential-stability + estimation-stability, F-5 into mask-set vs</w:t>
      </w:r>
      <w:r>
        <w:t xml:space="preserve"> </w:t>
      </w:r>
      <w:r>
        <w:t xml:space="preserve">band-budget, F-12 into intra-paper vs inter-paper baselines. Doing so</w:t>
      </w:r>
      <w:r>
        <w:t xml:space="preserve"> </w:t>
      </w:r>
      <w:r>
        <w:t xml:space="preserve">multiplies the artefact footprint without adding qualitatively new</w:t>
      </w:r>
      <w:r>
        <w:t xml:space="preserve"> </w:t>
      </w:r>
      <w:r>
        <w:t xml:space="preserve">information.</w:t>
      </w:r>
    </w:p>
    <w:p>
      <w:pPr>
        <w:pStyle w:val="FirstParagraph"/>
      </w:pPr>
      <w:r>
        <w:t xml:space="preserve">The twelve-axis count is therefore the minimum that surfaces every</w:t>
      </w:r>
      <w:r>
        <w:t xml:space="preserve"> </w:t>
      </w:r>
      <w:r>
        <w:t xml:space="preserve">distinct failure mode we have observed.</w:t>
      </w:r>
    </w:p>
    <w:bookmarkStart w:id="34" w:name="refs"/>
    <w:bookmarkStart w:id="19" w:name="ref-bioucasdias2012unmixing"/>
    <w:p>
      <w:pPr>
        <w:pStyle w:val="Bibliography"/>
      </w:pPr>
      <w:r>
        <w:t xml:space="preserve">Bioucas-Dias, José M., Antonio Plaza, Nicolas Dobigeon, et al. 2012.</w:t>
      </w:r>
      <w:r>
        <w:t xml:space="preserve"> </w:t>
      </w:r>
      <w:r>
        <w:t xml:space="preserve">“Hyperspectral Unmixing Overview: Geometrical, Statistical, and Sparse Regression-Based Approaches.”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5 (2): 354–79.</w:t>
      </w:r>
      <w:r>
        <w:t xml:space="preserve"> </w:t>
      </w:r>
      <w:hyperlink r:id="rId18">
        <w:r>
          <w:rPr>
            <w:rStyle w:val="Hyperlink"/>
          </w:rPr>
          <w:t xml:space="preserve">https://doi.org/10.1109/JSTARS.2012.2194696</w:t>
        </w:r>
      </w:hyperlink>
      <w:r>
        <w:t xml:space="preserve">.</w:t>
      </w:r>
    </w:p>
    <w:bookmarkEnd w:id="19"/>
    <w:bookmarkStart w:id="21" w:name="ref-camps2014advances"/>
    <w:p>
      <w:pPr>
        <w:pStyle w:val="Bibliography"/>
      </w:pPr>
      <w:r>
        <w:t xml:space="preserve">Camps-Valls, Gustavo, Devis Tuia, Lorenzo Bruzzone, and Jón Atli Benediktsson. 2014.</w:t>
      </w:r>
      <w:r>
        <w:t xml:space="preserve"> </w:t>
      </w:r>
      <w:r>
        <w:t xml:space="preserve">“Advances in Hyperspectral Image Classification:</w:t>
      </w:r>
      <w:r>
        <w:t xml:space="preserve"> </w:t>
      </w:r>
      <w:r>
        <w:t xml:space="preserve">Earth</w:t>
      </w:r>
      <w:r>
        <w:t xml:space="preserve"> </w:t>
      </w:r>
      <w:r>
        <w:t xml:space="preserve">Monitoring with Statistical Learning Methods.”</w:t>
      </w:r>
      <w:r>
        <w:t xml:space="preserve"> </w:t>
      </w:r>
      <w:r>
        <w:rPr>
          <w:i/>
          <w:iCs/>
        </w:rPr>
        <w:t xml:space="preserve">IEEE Signal Processing Magazine</w:t>
      </w:r>
      <w:r>
        <w:t xml:space="preserve"> </w:t>
      </w:r>
      <w:r>
        <w:t xml:space="preserve">31 (1): 45–54.</w:t>
      </w:r>
      <w:r>
        <w:t xml:space="preserve"> </w:t>
      </w:r>
      <w:hyperlink r:id="rId20">
        <w:r>
          <w:rPr>
            <w:rStyle w:val="Hyperlink"/>
          </w:rPr>
          <w:t xml:space="preserve">https://doi.org/10.1109/MSP.2013.2279179</w:t>
        </w:r>
      </w:hyperlink>
      <w:r>
        <w:t xml:space="preserve">.</w:t>
      </w:r>
    </w:p>
    <w:bookmarkEnd w:id="21"/>
    <w:bookmarkStart w:id="23" w:name="ref-chen2014deep"/>
    <w:p>
      <w:pPr>
        <w:pStyle w:val="Bibliography"/>
      </w:pPr>
      <w:r>
        <w:t xml:space="preserve">Chen, Yushi, Zhouhan Lin, Xing Zhao, Gang Wang, and Yanfeng Gu. 2014.</w:t>
      </w:r>
      <w:r>
        <w:t xml:space="preserve"> </w:t>
      </w:r>
      <w:r>
        <w:t xml:space="preserve">“Deep Learning-Based Classification of Hyperspectral Data.”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7 (6): 2094–107.</w:t>
      </w:r>
      <w:r>
        <w:t xml:space="preserve"> </w:t>
      </w:r>
      <w:hyperlink r:id="rId22">
        <w:r>
          <w:rPr>
            <w:rStyle w:val="Hyperlink"/>
          </w:rPr>
          <w:t xml:space="preserve">https://doi.org/10.1109/JSTARS.2014.2329330</w:t>
        </w:r>
      </w:hyperlink>
      <w:r>
        <w:t xml:space="preserve">.</w:t>
      </w:r>
    </w:p>
    <w:bookmarkEnd w:id="23"/>
    <w:bookmarkStart w:id="25" w:name="ref-liu2019hsilda"/>
    <w:p>
      <w:pPr>
        <w:pStyle w:val="Bibliography"/>
      </w:pPr>
      <w:r>
        <w:t xml:space="preserve">Liu, Lei, Chunhui Wang, Bo Du, and Hanjiang Lai. 2019.</w:t>
      </w:r>
      <w:r>
        <w:t xml:space="preserve"> </w:t>
      </w:r>
      <w:r>
        <w:t xml:space="preserve">“A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Allocation-Based Local Spectral-Spatial Hyperspectral Image Classification Method.”</w:t>
      </w:r>
      <w:r>
        <w:t xml:space="preserve"> </w:t>
      </w:r>
      <w:r>
        <w:rPr>
          <w:i/>
          <w:iCs/>
        </w:rPr>
        <w:t xml:space="preserve">IEEE Geoscience and Remote Sensing Letters</w:t>
      </w:r>
      <w:r>
        <w:t xml:space="preserve"> </w:t>
      </w:r>
      <w:r>
        <w:t xml:space="preserve">16 (6): 935–39.</w:t>
      </w:r>
      <w:r>
        <w:t xml:space="preserve"> </w:t>
      </w:r>
      <w:hyperlink r:id="rId24">
        <w:r>
          <w:rPr>
            <w:rStyle w:val="Hyperlink"/>
          </w:rPr>
          <w:t xml:space="preserve">https://doi.org/10.1109/LGRS.2018.2887112</w:t>
        </w:r>
      </w:hyperlink>
      <w:r>
        <w:t xml:space="preserve">.</w:t>
      </w:r>
    </w:p>
    <w:bookmarkEnd w:id="25"/>
    <w:bookmarkStart w:id="27" w:name="ref-nascimento2005vca"/>
    <w:p>
      <w:pPr>
        <w:pStyle w:val="Bibliography"/>
      </w:pPr>
      <w:r>
        <w:t xml:space="preserve">Nascimento, José M. P., and José M. Bioucas-Dias. 2005.</w:t>
      </w:r>
      <w:r>
        <w:t xml:space="preserve"> </w:t>
      </w:r>
      <w:r>
        <w:t xml:space="preserve">“Vertex Component Analysis:</w:t>
      </w:r>
      <w:r>
        <w:t xml:space="preserve"> </w:t>
      </w:r>
      <w:r>
        <w:t xml:space="preserve">A</w:t>
      </w:r>
      <w:r>
        <w:t xml:space="preserve"> </w:t>
      </w:r>
      <w:r>
        <w:t xml:space="preserve">Fast Algorithm to Unmix Hyperspectral Data.”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43 (4): 898–910.</w:t>
      </w:r>
      <w:r>
        <w:t xml:space="preserve"> </w:t>
      </w:r>
      <w:hyperlink r:id="rId26">
        <w:r>
          <w:rPr>
            <w:rStyle w:val="Hyperlink"/>
          </w:rPr>
          <w:t xml:space="preserve">https://doi.org/10.1109/TGRS.2005.844293</w:t>
        </w:r>
      </w:hyperlink>
      <w:r>
        <w:t xml:space="preserve">.</w:t>
      </w:r>
    </w:p>
    <w:bookmarkEnd w:id="27"/>
    <w:bookmarkStart w:id="29" w:name="ref-paoletti2019deep"/>
    <w:p>
      <w:pPr>
        <w:pStyle w:val="Bibliography"/>
      </w:pPr>
      <w:r>
        <w:t xml:space="preserve">Paoletti, Mercedes E., Juan Mario Haut, Javier Plaza, and Antonio Plaza. 2019.</w:t>
      </w:r>
      <w:r>
        <w:t xml:space="preserve"> </w:t>
      </w:r>
      <w:r>
        <w:t xml:space="preserve">“Deep Learning Classifiers for Hyperspectral Imaging:</w:t>
      </w:r>
      <w:r>
        <w:t xml:space="preserve"> </w:t>
      </w:r>
      <w:r>
        <w:t xml:space="preserve">A</w:t>
      </w:r>
      <w:r>
        <w:t xml:space="preserve"> </w:t>
      </w:r>
      <w:r>
        <w:t xml:space="preserve">Review.”</w:t>
      </w:r>
      <w:r>
        <w:t xml:space="preserve"> </w:t>
      </w:r>
      <w:r>
        <w:rPr>
          <w:i/>
          <w:iCs/>
        </w:rPr>
        <w:t xml:space="preserve">ISPRS Journal of Photogrammetry and Remote Sensing</w:t>
      </w:r>
      <w:r>
        <w:t xml:space="preserve"> </w:t>
      </w:r>
      <w:r>
        <w:t xml:space="preserve">158: 279–317.</w:t>
      </w:r>
      <w:r>
        <w:t xml:space="preserve"> </w:t>
      </w:r>
      <w:hyperlink r:id="rId28">
        <w:r>
          <w:rPr>
            <w:rStyle w:val="Hyperlink"/>
          </w:rPr>
          <w:t xml:space="preserve">https://doi.org/10.1016/j.isprsjprs.2019.09.006</w:t>
        </w:r>
      </w:hyperlink>
      <w:r>
        <w:t xml:space="preserve">.</w:t>
      </w:r>
    </w:p>
    <w:bookmarkEnd w:id="29"/>
    <w:bookmarkStart w:id="31" w:name="ref-plaza2009recent"/>
    <w:p>
      <w:pPr>
        <w:pStyle w:val="Bibliography"/>
      </w:pPr>
      <w:r>
        <w:t xml:space="preserve">Plaza, Antonio, Jon Atli Benediktsson, Joseph W. Boardman, et al. 2009.</w:t>
      </w:r>
      <w:r>
        <w:t xml:space="preserve"> </w:t>
      </w:r>
      <w:r>
        <w:t xml:space="preserve">“Recent Advances in Techniques for Hyperspectral Image Processing.”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 </w:t>
      </w:r>
      <w:r>
        <w:t xml:space="preserve">113 (Supplement 1): S110–22.</w:t>
      </w:r>
      <w:r>
        <w:t xml:space="preserve"> </w:t>
      </w:r>
      <w:hyperlink r:id="rId30">
        <w:r>
          <w:rPr>
            <w:rStyle w:val="Hyperlink"/>
          </w:rPr>
          <w:t xml:space="preserve">https://doi.org/10.1016/j.rse.2007.07.028</w:t>
        </w:r>
      </w:hyperlink>
      <w:r>
        <w:t xml:space="preserve">.</w:t>
      </w:r>
    </w:p>
    <w:bookmarkEnd w:id="31"/>
    <w:bookmarkStart w:id="33" w:name="ref-zou2017pmlda"/>
    <w:p>
      <w:pPr>
        <w:pStyle w:val="Bibliography"/>
      </w:pPr>
      <w:r>
        <w:t xml:space="preserve">Zou, Sheng, and Alina Zare. 2017.</w:t>
      </w:r>
      <w:r>
        <w:t xml:space="preserve"> </w:t>
      </w:r>
      <w:r>
        <w:t xml:space="preserve">“A Continuous-Space Partial-Membership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 Approach for Subpixel Hyperspectral Imagery.”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55 (10): 5840–53.</w:t>
      </w:r>
      <w:r>
        <w:t xml:space="preserve"> </w:t>
      </w:r>
      <w:hyperlink r:id="rId32">
        <w:r>
          <w:rPr>
            <w:rStyle w:val="Hyperlink"/>
          </w:rPr>
          <w:t xml:space="preserve">https://doi.org/10.1109/TGRS.2017.2715350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16/j.isprsjprs.2019.09.006" TargetMode="External" /><Relationship Type="http://schemas.openxmlformats.org/officeDocument/2006/relationships/hyperlink" Id="rId30" Target="https://doi.org/10.1016/j.rse.2007.07.028" TargetMode="External" /><Relationship Type="http://schemas.openxmlformats.org/officeDocument/2006/relationships/hyperlink" Id="rId18" Target="https://doi.org/10.1109/JSTARS.2012.2194696" TargetMode="External" /><Relationship Type="http://schemas.openxmlformats.org/officeDocument/2006/relationships/hyperlink" Id="rId22" Target="https://doi.org/10.1109/JSTARS.2014.2329330" TargetMode="External" /><Relationship Type="http://schemas.openxmlformats.org/officeDocument/2006/relationships/hyperlink" Id="rId24" Target="https://doi.org/10.1109/LGRS.2018.2887112" TargetMode="External" /><Relationship Type="http://schemas.openxmlformats.org/officeDocument/2006/relationships/hyperlink" Id="rId20" Target="https://doi.org/10.1109/MSP.2013.2279179" TargetMode="External" /><Relationship Type="http://schemas.openxmlformats.org/officeDocument/2006/relationships/hyperlink" Id="rId26" Target="https://doi.org/10.1109/TGRS.2005.844293" TargetMode="External" /><Relationship Type="http://schemas.openxmlformats.org/officeDocument/2006/relationships/hyperlink" Id="rId32" Target="https://doi.org/10.1109/TGRS.2017.271535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16/j.isprsjprs.2019.09.006" TargetMode="External" /><Relationship Type="http://schemas.openxmlformats.org/officeDocument/2006/relationships/hyperlink" Id="rId30" Target="https://doi.org/10.1016/j.rse.2007.07.028" TargetMode="External" /><Relationship Type="http://schemas.openxmlformats.org/officeDocument/2006/relationships/hyperlink" Id="rId18" Target="https://doi.org/10.1109/JSTARS.2012.2194696" TargetMode="External" /><Relationship Type="http://schemas.openxmlformats.org/officeDocument/2006/relationships/hyperlink" Id="rId22" Target="https://doi.org/10.1109/JSTARS.2014.2329330" TargetMode="External" /><Relationship Type="http://schemas.openxmlformats.org/officeDocument/2006/relationships/hyperlink" Id="rId24" Target="https://doi.org/10.1109/LGRS.2018.2887112" TargetMode="External" /><Relationship Type="http://schemas.openxmlformats.org/officeDocument/2006/relationships/hyperlink" Id="rId20" Target="https://doi.org/10.1109/MSP.2013.2279179" TargetMode="External" /><Relationship Type="http://schemas.openxmlformats.org/officeDocument/2006/relationships/hyperlink" Id="rId26" Target="https://doi.org/10.1109/TGRS.2005.844293" TargetMode="External" /><Relationship Type="http://schemas.openxmlformats.org/officeDocument/2006/relationships/hyperlink" Id="rId32" Target="https://doi.org/10.1109/TGRS.2017.271535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A — The accuracy-only view and why it fails Companion to: Beyond Accuracy: A Multi-Axis Evaluation Framework for Interpretable Topic Models on HSI</dc:title>
  <dc:creator>Felipe Santibáñez-Leal</dc:creator>
  <cp:keywords/>
  <dcterms:created xsi:type="dcterms:W3CDTF">2026-05-15T12:27:01Z</dcterms:created>
  <dcterms:modified xsi:type="dcterms:W3CDTF">2026-05-15T12:27:01Z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D:\_Repos\_Web_Projects\CAOS_LDA_HSI_Paper\bibliography\refs.bib</vt:lpwstr>
  </property>
  <property fmtid="{D5CDD505-2E9C-101B-9397-08002B2CF9AE}" pid="3" name="date">
    <vt:lpwstr>2026</vt:lpwstr>
  </property>
</Properties>
</file>