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C — Per-axis motivation and alternatives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(Section III)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documents, per axis F-1 through F-12, the question</w:t>
      </w:r>
      <w:r>
        <w:t xml:space="preserve"> </w:t>
      </w:r>
      <w:r>
        <w:t xml:space="preserve">the axis answers, the metric chosen, the alternatives considered,</w:t>
      </w:r>
      <w:r>
        <w:t xml:space="preserve"> </w:t>
      </w:r>
      <w:r>
        <w:t xml:space="preserve">and the design rationale for the final selection. The intent is</w:t>
      </w:r>
      <w:r>
        <w:t xml:space="preserve"> </w:t>
      </w:r>
      <w:r>
        <w:t xml:space="preserve">that a reader could substitute an alternative metric within an axis</w:t>
      </w:r>
      <w:r>
        <w:t xml:space="preserve"> </w:t>
      </w:r>
      <w:r>
        <w:t xml:space="preserve">without re-architecting the framework.</w:t>
      </w:r>
    </w:p>
    <w:bookmarkEnd w:id="9"/>
    <w:bookmarkStart w:id="14" w:name="f-1-hierarchical-bayesian-classification"/>
    <w:p>
      <w:pPr>
        <w:pStyle w:val="Heading1"/>
      </w:pPr>
      <w:r>
        <w:t xml:space="preserve">F-1: Hierarchical Bayesian classification</w:t>
      </w:r>
    </w:p>
    <w:bookmarkStart w:id="10" w:name="question.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“Does the topic representation outperform</w:t>
      </w:r>
      <w:r>
        <w:t xml:space="preserve"> </w:t>
      </w:r>
      <w:r>
        <w:t xml:space="preserve">non-topic baselines after pooling across scenes and folds?”</w:t>
      </w:r>
    </w:p>
    <w:bookmarkEnd w:id="10"/>
    <w:bookmarkStart w:id="11" w:name="metric.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Posterior mean and HDI94 of</w:t>
      </w:r>
      <w:r>
        <w:t xml:space="preserve"> </w:t>
      </w:r>
      <m:oMath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r>
        <w:t xml:space="preserve">hierarchical model</w:t>
      </w:r>
      <w:r>
        <w:t xml:space="preserve"> 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t>ϵ</m:t>
        </m:r>
      </m:oMath>
      <w:r>
        <w:t xml:space="preserve">, plus the 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table.</w:t>
      </w:r>
    </w:p>
    <w:bookmarkEnd w:id="11"/>
    <w:bookmarkStart w:id="12" w:name="alternatives-considered.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Pooled OA average (drops</w:t>
      </w:r>
      <w:r>
        <w:t xml:space="preserve"> </w:t>
      </w:r>
      <w:r>
        <w:t xml:space="preserve">scene-level uncertainty); (b) Fixed-effect ANOVA (would require</w:t>
      </w:r>
      <w:r>
        <w:t xml:space="preserve"> </w:t>
      </w:r>
      <w:r>
        <w:t xml:space="preserve">asymptotic normality on small per-fold samples); (c) Bayesian</w:t>
      </w:r>
      <w:r>
        <w:t xml:space="preserve"> </w:t>
      </w:r>
      <w:r>
        <w:t xml:space="preserve">paired-tests per (scene, method) (high false-discovery rate without</w:t>
      </w:r>
      <w:r>
        <w:t xml:space="preserve"> </w:t>
      </w:r>
      <w:r>
        <w:t xml:space="preserve">correction).</w:t>
      </w:r>
    </w:p>
    <w:bookmarkEnd w:id="12"/>
    <w:bookmarkStart w:id="13" w:name="rationale.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The hierarchical model is the smallest design</w:t>
      </w:r>
      <w:r>
        <w:t xml:space="preserve"> </w:t>
      </w:r>
      <w:r>
        <w:t xml:space="preserve">that (i) returns a per-method posterior, (ii) marginalises over</w:t>
      </w:r>
      <w:r>
        <w:t xml:space="preserve"> </w:t>
      </w:r>
      <w:r>
        <w:t xml:space="preserve">scene-level offsets, (iii) yields pairwise probabilities directly</w:t>
      </w:r>
      <w:r>
        <w:t xml:space="preserve"> </w:t>
      </w:r>
      <w:r>
        <w:t xml:space="preserve">interpretable as a graded ordering. The NUTS sampler with 1000</w:t>
      </w:r>
      <w:r>
        <w:t xml:space="preserve"> </w:t>
      </w:r>
      <w:r>
        <w:t xml:space="preserve">draws + 1000 tune + 2 chains is the default PyMC configuration; no</w:t>
      </w:r>
      <w:r>
        <w:t xml:space="preserve"> </w:t>
      </w:r>
      <w:r>
        <w:t xml:space="preserve">divergences are observed.</w:t>
      </w:r>
    </w:p>
    <w:bookmarkEnd w:id="13"/>
    <w:bookmarkEnd w:id="14"/>
    <w:bookmarkStart w:id="19" w:name="f-2-topic-word-coherence"/>
    <w:p>
      <w:pPr>
        <w:pStyle w:val="Heading1"/>
      </w:pPr>
      <w:r>
        <w:t xml:space="preserve">F-2: Topic-word coherence</w:t>
      </w:r>
    </w:p>
    <w:bookmarkStart w:id="15" w:name="question.-1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“Are the top-</w:t>
      </w:r>
      <m:oMath>
        <m:r>
          <m:t>N</m:t>
        </m:r>
      </m:oMath>
      <w:r>
        <w:t xml:space="preserve"> </w:t>
      </w:r>
      <w:r>
        <w:t xml:space="preserve">words per topic semantically</w:t>
      </w:r>
      <w:r>
        <w:t xml:space="preserve"> </w:t>
      </w:r>
      <w:r>
        <w:t xml:space="preserve">coherent under the corpus’s own co-occurrence statistics?”</w:t>
      </w:r>
    </w:p>
    <w:bookmarkEnd w:id="15"/>
    <w:bookmarkStart w:id="16" w:name="metric.-1"/>
    <w:p>
      <w:pPr>
        <w:pStyle w:val="Heading4"/>
      </w:pPr>
      <w:r>
        <w:t xml:space="preserve">Metric.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 </w:t>
      </w:r>
      <w:r>
        <w:t xml:space="preserve">(Röder et al. 2015)</w:t>
      </w:r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NPMI</m:t>
            </m:r>
          </m:sub>
        </m:sSub>
      </m:oMath>
      <w:r>
        <w:t xml:space="preserve">, and U-Mass, reported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sliding window of size 110 (matching Röder’s default).</w:t>
      </w:r>
    </w:p>
    <w:bookmarkEnd w:id="16"/>
    <w:bookmarkStart w:id="17" w:name="alternatives-considered.-1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UCI coherence (less</w:t>
      </w:r>
      <w:r>
        <w:t xml:space="preserve"> </w:t>
      </w:r>
      <w:r>
        <w:t xml:space="preserve">correlated with human judgement on Röder’s benchmarks);</w:t>
      </w:r>
      <w:r>
        <w:t xml:space="preserve"> </w:t>
      </w:r>
      <w:r>
        <w:t xml:space="preserve">(b) 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Pointwise mutual information (drops the sliding window);</w:t>
      </w:r>
      <w:r>
        <w:t xml:space="preserve"> </w:t>
      </w:r>
      <w:r>
        <w:t xml:space="preserve">(c) Word2Vec embeddings (requires an external corpus, breaks the</w:t>
      </w:r>
      <w:r>
        <w:t xml:space="preserve"> </w:t>
      </w:r>
      <w:r>
        <w:t xml:space="preserve">self-contained reproducibility commitment).</w:t>
      </w:r>
    </w:p>
    <w:bookmarkEnd w:id="17"/>
    <w:bookmarkStart w:id="18" w:name="rationale.-1"/>
    <w:p>
      <w:pPr>
        <w:pStyle w:val="Heading4"/>
      </w:pPr>
      <w:r>
        <w:t xml:space="preserve">Rationale.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strongest performer in Röder</w:t>
      </w:r>
      <w:r>
        <w:t xml:space="preserve"> </w:t>
      </w:r>
      <w:r>
        <w:t xml:space="preserve">2015 on human judgements; reporting NPMI alongside is a robustness</w:t>
      </w:r>
      <w:r>
        <w:t xml:space="preserve"> </w:t>
      </w:r>
      <w:r>
        <w:t xml:space="preserve">check; U-Mass is the historical reference. The three-way report</w:t>
      </w:r>
      <w:r>
        <w:t xml:space="preserve"> </w:t>
      </w:r>
      <w:r>
        <w:t xml:space="preserve">also enables the coherence-vs-ARI scatter that surfaces the</w:t>
      </w:r>
      <w:r>
        <w:t xml:space="preserve"> </w:t>
      </w:r>
      <w:r>
        <w:t xml:space="preserve">LDA-vs-ProdLDA tradeoff.</w:t>
      </w:r>
    </w:p>
    <w:bookmarkEnd w:id="18"/>
    <w:bookmarkEnd w:id="19"/>
    <w:bookmarkStart w:id="24" w:name="f-3-seed-stability"/>
    <w:p>
      <w:pPr>
        <w:pStyle w:val="Heading1"/>
      </w:pPr>
      <w:r>
        <w:t xml:space="preserve">F-3: Seed stability</w:t>
      </w:r>
    </w:p>
    <w:bookmarkStart w:id="20" w:name="question.-2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“Does refitting under a different random</w:t>
      </w:r>
      <w:r>
        <w:t xml:space="preserve"> </w:t>
      </w:r>
      <w:r>
        <w:t xml:space="preserve">seed yield the same topics?”</w:t>
      </w:r>
    </w:p>
    <w:bookmarkEnd w:id="20"/>
    <w:bookmarkStart w:id="21" w:name="metric.-2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 ARI(KMeans-on-</w:t>
      </w:r>
      <m:oMath>
        <m:r>
          <m:t>θ</m:t>
        </m:r>
      </m:oMath>
      <w:r>
        <w:t xml:space="preserve">, label)</w:t>
      </w:r>
      <w:r>
        <w:t xml:space="preserve"> </w:t>
      </w:r>
      <w:r>
        <w:t xml:space="preserve">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seeds plus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std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over the same five.</w:t>
      </w:r>
    </w:p>
    <w:bookmarkEnd w:id="21"/>
    <w:bookmarkStart w:id="22" w:name="alternatives-considered.-2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Topic-by-topic matched</w:t>
      </w:r>
      <w:r>
        <w:t xml:space="preserve"> </w:t>
      </w:r>
      <w:r>
        <w:t xml:space="preserve">cosine (sensitive to permutation, requires pre-alignment);</w:t>
      </w:r>
      <w:r>
        <w:t xml:space="preserve"> </w:t>
      </w:r>
      <w:r>
        <w:t xml:space="preserve">(b) Bootstrap-resampled corpora (mixes seed stability with sample</w:t>
      </w:r>
      <w:r>
        <w:t xml:space="preserve"> </w:t>
      </w:r>
      <w:r>
        <w:t xml:space="preserve">stability); (c) 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seeds (the companion code repository’s</w:t>
      </w:r>
      <w:r>
        <w:t xml:space="preserve"> </w:t>
      </w:r>
      <w:r>
        <w:rPr>
          <w:rStyle w:val="VerbatimChar"/>
        </w:rPr>
        <w:t xml:space="preserve">deep_seed_stability/</w:t>
      </w:r>
      <w:r>
        <w:t xml:space="preserve"> </w:t>
      </w:r>
      <w:r>
        <w:t xml:space="preserve">block runs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; the framework</w:t>
      </w:r>
      <w:r>
        <w:t xml:space="preserve"> </w:t>
      </w:r>
      <w:r>
        <w:t xml:space="preserve">uses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for parsimony plus an explicit upgrade path).</w:t>
      </w:r>
    </w:p>
    <w:bookmarkEnd w:id="22"/>
    <w:bookmarkStart w:id="23" w:name="rationale.-2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The ARI +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pair is the smallest set</w:t>
      </w:r>
      <w:r>
        <w:t xml:space="preserve"> </w:t>
      </w:r>
      <w:r>
        <w:t xml:space="preserve">that surfaces both the cluster-quality and topic-interpretability</w:t>
      </w:r>
      <w:r>
        <w:t xml:space="preserve"> </w:t>
      </w:r>
      <w:r>
        <w:t xml:space="preserve">sides of stability. The five-seed budget is enough to estimate the</w:t>
      </w:r>
      <w:r>
        <w:t xml:space="preserve"> </w:t>
      </w:r>
      <w:r>
        <w:t xml:space="preserve">std reliably for a unimodal posterior; multi-modal posteriors (which</w:t>
      </w:r>
      <w:r>
        <w:t xml:space="preserve"> </w:t>
      </w:r>
      <w:r>
        <w:t xml:space="preserve">we suspect on KSC and Botswana) would benefit from 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are flagged for follow-up.</w:t>
      </w:r>
    </w:p>
    <w:bookmarkEnd w:id="23"/>
    <w:bookmarkEnd w:id="24"/>
    <w:bookmarkStart w:id="29" w:name="f-4-capacity-sensitivity"/>
    <w:p>
      <w:pPr>
        <w:pStyle w:val="Heading1"/>
      </w:pPr>
      <w:r>
        <w:t xml:space="preserve">F-4: Capacity sensitivity</w:t>
      </w:r>
    </w:p>
    <w:bookmarkStart w:id="25" w:name="question.-3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“How does the topic representation change</w:t>
      </w:r>
      <w:r>
        <w:t xml:space="preserve"> </w:t>
      </w:r>
      <w:r>
        <w:t xml:space="preserve">when one allows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vary?”</w:t>
      </w:r>
    </w:p>
    <w:bookmarkEnd w:id="25"/>
    <w:bookmarkStart w:id="26" w:name="metric.-3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ARI(canonical, KMeans-on-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 label),</w:t>
      </w:r>
      <w:r>
        <w:t xml:space="preserve"> </w:t>
      </w:r>
      <w:r>
        <w:t xml:space="preserve">held-out perplexity, topic diversity (fraction of unique top-15</w:t>
      </w:r>
      <w:r>
        <w:t xml:space="preserve"> </w:t>
      </w:r>
      <w:r>
        <w:t xml:space="preserve">words), and cross-seed matched-cosine, all reported across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}</m:t>
        </m:r>
      </m:oMath>
      <w:r>
        <w:t xml:space="preserve">.</w:t>
      </w:r>
    </w:p>
    <w:bookmarkEnd w:id="26"/>
    <w:bookmarkStart w:id="27" w:name="alternatives-considered.-3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ELBO vs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curve</w:t>
      </w:r>
      <w:r>
        <w:t xml:space="preserve"> </w:t>
      </w:r>
      <w:r>
        <w:t xml:space="preserve">(diverges in batch sizes and not directly interpretable);</w:t>
      </w:r>
      <w:r>
        <w:t xml:space="preserve"> </w:t>
      </w:r>
      <w:r>
        <w:t xml:space="preserve">(b) AIC / BIC at the corpus level (penalty terms become arbitrary</w:t>
      </w:r>
      <w:r>
        <w:t xml:space="preserve"> </w:t>
      </w:r>
      <w:r>
        <w:t xml:space="preserve">for non-Gaussian likelihoods); (c) Held-out perplexity alone (the</w:t>
      </w:r>
      <w:r>
        <w:t xml:space="preserve"> </w:t>
      </w:r>
      <w:r>
        <w:t xml:space="preserve">de-facto default but uninformative on topic interpretability).</w:t>
      </w:r>
    </w:p>
    <w:bookmarkEnd w:id="27"/>
    <w:bookmarkStart w:id="28" w:name="rationale.-3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The four-metric report covers the three</w:t>
      </w:r>
      <w:r>
        <w:t xml:space="preserve"> </w:t>
      </w:r>
      <w:r>
        <w:t xml:space="preserve">distinct ways capacity choice can fail: underfitting (perplexity</w:t>
      </w:r>
      <w:r>
        <w:t xml:space="preserve"> </w:t>
      </w:r>
      <w:r>
        <w:t xml:space="preserve">high, ARI low), overfitting on tokenisation noise (perplexity low,</w:t>
      </w:r>
      <w:r>
        <w:t xml:space="preserve"> </w:t>
      </w:r>
      <w:r>
        <w:t xml:space="preserve">diversity collapses), and topic splitting/merging without ARI gain</w:t>
      </w:r>
      <w:r>
        <w:t xml:space="preserve"> </w:t>
      </w:r>
      <w:r>
        <w:t xml:space="preserve">(matched-cosine high but ARI flat).</w:t>
      </w:r>
    </w:p>
    <w:bookmarkEnd w:id="28"/>
    <w:bookmarkEnd w:id="29"/>
    <w:bookmarkStart w:id="34" w:name="f-5-band-mask-robustness"/>
    <w:p>
      <w:pPr>
        <w:pStyle w:val="Heading1"/>
      </w:pPr>
      <w:r>
        <w:t xml:space="preserve">F-5: Band-mask robustness</w:t>
      </w:r>
    </w:p>
    <w:bookmarkStart w:id="30" w:name="question.-4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“Does the topic basis survive a class of</w:t>
      </w:r>
      <w:r>
        <w:t xml:space="preserve"> </w:t>
      </w:r>
      <w:r>
        <w:t xml:space="preserve">spectral-window restrictions?”</w:t>
      </w:r>
    </w:p>
    <w:bookmarkEnd w:id="30"/>
    <w:bookmarkStart w:id="31" w:name="metric.-4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Paired ARI between canonical and masked</w:t>
      </w:r>
      <w:r>
        <w:t xml:space="preserve"> </w:t>
      </w:r>
      <w:r>
        <w:t xml:space="preserve">dominant-topic maps, restricted to pixels labelled in both, under</w:t>
      </w:r>
      <w:r>
        <w:t xml:space="preserve"> </w:t>
      </w:r>
      <w:r>
        <w:t xml:space="preserve">four canonical masks (VNIR, SWIR, no-water, top-50 Fisher).</w:t>
      </w:r>
    </w:p>
    <w:bookmarkEnd w:id="31"/>
    <w:bookmarkStart w:id="32" w:name="alternatives-considered.-4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Phi-cosine after Hungarian</w:t>
      </w:r>
      <w:r>
        <w:t xml:space="preserve"> </w:t>
      </w:r>
      <w:r>
        <w:t xml:space="preserve">alignment (basis-level, but conflates marginal-prevalence with</w:t>
      </w:r>
      <w:r>
        <w:t xml:space="preserve"> </w:t>
      </w:r>
      <w:r>
        <w:t xml:space="preserve">identity); (b) KL between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posteriors per pixel</w:t>
      </w:r>
      <w:r>
        <w:t xml:space="preserve"> </w:t>
      </w:r>
      <w:r>
        <w:t xml:space="preserve">(continuous, but interpretation across pixels is unclear);</w:t>
      </w:r>
      <w:r>
        <w:t xml:space="preserve"> </w:t>
      </w:r>
      <w:r>
        <w:t xml:space="preserve">(c) Jaccard of top-words per topic after Hungarian alignment</w:t>
      </w:r>
      <w:r>
        <w:t xml:space="preserve"> </w:t>
      </w:r>
      <w:r>
        <w:t xml:space="preserve">(vocabulary-level, useful supplementary B axis in the conference</w:t>
      </w:r>
      <w:r>
        <w:t xml:space="preserve"> </w:t>
      </w:r>
      <w:r>
        <w:t xml:space="preserve">paper).</w:t>
      </w:r>
    </w:p>
    <w:bookmarkEnd w:id="32"/>
    <w:bookmarkStart w:id="33" w:name="rationale.-4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Paired ARI is the metric most directly</w:t>
      </w:r>
      <w:r>
        <w:t xml:space="preserve"> </w:t>
      </w:r>
      <w:r>
        <w:t xml:space="preserve">interpretable as</w:t>
      </w:r>
      <w:r>
        <w:t xml:space="preserve"> </w:t>
      </w:r>
      <w:r>
        <w:t xml:space="preserve">“how much agreement under best-permutation”</w:t>
      </w:r>
      <w:r>
        <w:t xml:space="preserve"> </w:t>
      </w:r>
      <w:r>
        <w:t xml:space="preserve">on</w:t>
      </w:r>
      <w:r>
        <w:t xml:space="preserve"> </w:t>
      </w:r>
      <w:r>
        <w:t xml:space="preserve">the same data set; it is the principal metric. The companion</w:t>
      </w:r>
      <w:r>
        <w:t xml:space="preserve"> </w:t>
      </w:r>
      <w:r>
        <w:t xml:space="preserve">swap-rate is the un-corrected fraction and the Hungarian alignment</w:t>
      </w:r>
      <w:r>
        <w:t xml:space="preserve"> </w:t>
      </w:r>
      <w:r>
        <w:t xml:space="preserve">is the per-topic correspondence; the three together constitute the</w:t>
      </w:r>
      <w:r>
        <w:t xml:space="preserve"> </w:t>
      </w:r>
      <w:r>
        <w:t xml:space="preserve">axis output.</w:t>
      </w:r>
    </w:p>
    <w:bookmarkEnd w:id="33"/>
    <w:bookmarkEnd w:id="34"/>
    <w:bookmarkStart w:id="39" w:name="f-6-cross-method-clustering-agreement"/>
    <w:p>
      <w:pPr>
        <w:pStyle w:val="Heading1"/>
      </w:pPr>
      <w:r>
        <w:t xml:space="preserve">F-6: Cross-method clustering agreement</w:t>
      </w:r>
    </w:p>
    <w:bookmarkStart w:id="35" w:name="question.-5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“How does the canonical topic-dominant map</w:t>
      </w:r>
      <w:r>
        <w:t xml:space="preserve"> </w:t>
      </w:r>
      <w:r>
        <w:t xml:space="preserve">relate to other partitions of the same scene?”</w:t>
      </w:r>
    </w:p>
    <w:bookmarkEnd w:id="35"/>
    <w:bookmarkStart w:id="36" w:name="metric.-5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All-pairs ARI and NMI matrix between</w:t>
      </w:r>
      <w:r>
        <w:t xml:space="preserve"> </w:t>
      </w:r>
      <m:oMath>
        <m:r>
          <m:rPr>
            <m:sty m:val="p"/>
          </m:rPr>
          <m:t>{</m:t>
        </m:r>
      </m:oMath>
      <w:r>
        <w:t xml:space="preserve">label,</w:t>
      </w:r>
      <w:r>
        <w:t xml:space="preserve"> </w:t>
      </w:r>
      <w:r>
        <w:t xml:space="preserve">topic-dominant, Felzenszwalb, SLIC-500, SLIC-2000, patch-15,</w:t>
      </w:r>
      <w:r>
        <w:t xml:space="preserve"> </w:t>
      </w:r>
      <w:r>
        <w:t xml:space="preserve">patch-7, pixel</w:t>
      </w:r>
      <m:oMath>
        <m:r>
          <m:rPr>
            <m:sty m:val="p"/>
          </m:rPr>
          <m:t>}</m:t>
        </m:r>
      </m:oMath>
      <w:r>
        <w:t xml:space="preserve">.</w:t>
      </w:r>
    </w:p>
    <w:bookmarkEnd w:id="36"/>
    <w:bookmarkStart w:id="37" w:name="alternatives-considered.-5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Pair-by-pair ARI with a</w:t>
      </w:r>
      <w:r>
        <w:t xml:space="preserve"> </w:t>
      </w:r>
      <w:r>
        <w:t xml:space="preserve">sole reference (loses the cross-method symmetric structure);</w:t>
      </w:r>
      <w:r>
        <w:t xml:space="preserve"> </w:t>
      </w:r>
      <w:r>
        <w:t xml:space="preserve">(b) V-measure heatmap (V-measure equals NMI on these partitions</w:t>
      </w:r>
      <w:r>
        <w:t xml:space="preserve"> </w:t>
      </w:r>
      <w:r>
        <w:t xml:space="preserve">and gives the same information); (c) Graph-clustering modularity</w:t>
      </w:r>
      <w:r>
        <w:t xml:space="preserve"> </w:t>
      </w:r>
      <w:r>
        <w:t xml:space="preserve">between methods (interesting but requires a per-method graph</w:t>
      </w:r>
      <w:r>
        <w:t xml:space="preserve"> </w:t>
      </w:r>
      <w:r>
        <w:t xml:space="preserve">that we do not produce).</w:t>
      </w:r>
    </w:p>
    <w:bookmarkEnd w:id="37"/>
    <w:bookmarkStart w:id="38" w:name="rationale.-5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The 8</w:t>
      </w:r>
      <m:oMath>
        <m:r>
          <m:rPr>
            <m:sty m:val="p"/>
          </m:rPr>
          <m:t>×</m:t>
        </m:r>
      </m:oMath>
      <w:r>
        <w:t xml:space="preserve">8 matrix surfaces shared</w:t>
      </w:r>
      <w:r>
        <w:t xml:space="preserve"> </w:t>
      </w:r>
      <w:r>
        <w:t xml:space="preserve">inductive biases (e.g. SLIC-500 and patch-15 are spatially smooth</w:t>
      </w:r>
      <w:r>
        <w:t xml:space="preserve"> </w:t>
      </w:r>
      <w:r>
        <w:t xml:space="preserve">and agree highly even though they disagree with the ground-truth</w:t>
      </w:r>
      <w:r>
        <w:t xml:space="preserve"> </w:t>
      </w:r>
      <w:r>
        <w:t xml:space="preserve">label) that a single-row reference cannot show.</w:t>
      </w:r>
    </w:p>
    <w:bookmarkEnd w:id="38"/>
    <w:bookmarkEnd w:id="39"/>
    <w:bookmarkStart w:id="44" w:name="f-7-topiclabel-coupling"/>
    <w:p>
      <w:pPr>
        <w:pStyle w:val="Heading1"/>
      </w:pPr>
      <w:r>
        <w:t xml:space="preserve">F-7: Topic–label coupling</w:t>
      </w:r>
    </w:p>
    <w:bookmarkStart w:id="40" w:name="question.-6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“How concentrated is the support of each</w:t>
      </w:r>
      <w:r>
        <w:t xml:space="preserve"> </w:t>
      </w:r>
      <w:r>
        <w:t xml:space="preserve">canonical topic on the ground-truth label?”</w:t>
      </w:r>
    </w:p>
    <w:bookmarkEnd w:id="40"/>
    <w:bookmarkStart w:id="41" w:name="metric.-6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Per-topic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ℓ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 corresponding KL divergence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L</m:t>
        </m:r>
        <m:r>
          <m:t>​</m:t>
        </m:r>
        <m:d>
          <m:dPr>
            <m:begChr m:val="("/>
            <m:sepChr m:val="∥"/>
            <m:endChr m:val=")"/>
            <m:grow/>
          </m:dPr>
          <m:e>
            <m:r>
              <m:t>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</m:e>
          <m:e>
            <m:r>
              <m:t> </m:t>
            </m:r>
            <m:r>
              <m:t>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bookmarkEnd w:id="41"/>
    <w:bookmarkStart w:id="42" w:name="alternatives-considered.-6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Topic-to-label hard</w:t>
      </w:r>
      <w:r>
        <w:t xml:space="preserve"> </w:t>
      </w:r>
      <w:r>
        <w:t xml:space="preserve">mapping via Hungarian (a special case of F-8 applied to the label</w:t>
      </w:r>
      <w:r>
        <w:t xml:space="preserve"> </w:t>
      </w:r>
      <w:r>
        <w:t xml:space="preserve">side); (b) Mutual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;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(a corpus-level summary,</w:t>
      </w:r>
      <w:r>
        <w:t xml:space="preserve"> </w:t>
      </w:r>
      <w:r>
        <w:t xml:space="preserve">useful as a single-number companion); (c) Topic precision/recall on</w:t>
      </w:r>
      <w:r>
        <w:t xml:space="preserve"> </w:t>
      </w:r>
      <w:r>
        <w:t xml:space="preserve">the dominant-label hypothesis (per-(topic, label) but multiplies</w:t>
      </w:r>
      <w:r>
        <w:t xml:space="preserve"> </w:t>
      </w:r>
      <w:r>
        <w:t xml:space="preserve">the artefact size).</w:t>
      </w:r>
    </w:p>
    <w:bookmarkEnd w:id="42"/>
    <w:bookmarkStart w:id="43" w:name="rationale.-6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Per-topic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KL admit direct</w:t>
      </w:r>
      <w:r>
        <w:t xml:space="preserve"> </w:t>
      </w:r>
      <w:r>
        <w:t xml:space="preserve">interpretation as concentration / divergence from the marginal,</w:t>
      </w:r>
      <w:r>
        <w:t xml:space="preserve"> </w:t>
      </w:r>
      <w:r>
        <w:t xml:space="preserve">and integrate cleanly with the dominant-topic-map raster that the</w:t>
      </w:r>
      <w:r>
        <w:t xml:space="preserve"> </w:t>
      </w:r>
      <w:r>
        <w:t xml:space="preserve">framework already produces.</w:t>
      </w:r>
    </w:p>
    <w:bookmarkEnd w:id="43"/>
    <w:bookmarkEnd w:id="44"/>
    <w:bookmarkStart w:id="49" w:name="X93a27199878c2fecfd74a632e28f44d356f43f2"/>
    <w:p>
      <w:pPr>
        <w:pStyle w:val="Heading1"/>
      </w:pPr>
      <w:r>
        <w:t xml:space="preserve">F-8: Per-topic identity tracking under masks</w:t>
      </w:r>
    </w:p>
    <w:bookmarkStart w:id="45" w:name="question.-7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“Which masked topic corresponds to which</w:t>
      </w:r>
      <w:r>
        <w:t xml:space="preserve"> </w:t>
      </w:r>
      <w:r>
        <w:t xml:space="preserve">canonical topic, and how much disagreement survives the</w:t>
      </w:r>
      <w:r>
        <w:t xml:space="preserve"> </w:t>
      </w:r>
      <w:r>
        <w:t xml:space="preserve">correspondence?”</w:t>
      </w:r>
    </w:p>
    <w:bookmarkEnd w:id="45"/>
    <w:bookmarkStart w:id="46" w:name="metric.-7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Hungarian permutation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σ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on the confusion matrix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</m:sup>
            </m:sSup>
          </m:sup>
        </m:sSubSup>
      </m:oMath>
      <w:r>
        <w:t xml:space="preserve">, plus the swap rate</w:t>
      </w:r>
      <w:r>
        <w:t xml:space="preserve"> </w:t>
      </w:r>
      <w:r>
        <w:t xml:space="preserve">under alignment</w:t>
      </w:r>
      <w:r>
        <w:t xml:space="preserve"> 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sSup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bookmarkEnd w:id="46"/>
    <w:bookmarkStart w:id="47" w:name="alternatives-considered.-7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Top-</w:t>
      </w:r>
      <m:oMath>
        <m:r>
          <m:t>N</m:t>
        </m:r>
      </m:oMath>
      <w:r>
        <w:t xml:space="preserve"> </w:t>
      </w:r>
      <w:r>
        <w:t xml:space="preserve">greedy assignment</w:t>
      </w:r>
      <w:r>
        <w:t xml:space="preserve"> </w:t>
      </w:r>
      <w:r>
        <w:t xml:space="preserve">(faster but sub-optimal); (b) Soft alignment via Sinkhorn (returns</w:t>
      </w:r>
      <w:r>
        <w:t xml:space="preserve"> </w:t>
      </w:r>
      <w:r>
        <w:t xml:space="preserve">a transport matrix, not a permutation); (c) Spectral alignment of</w:t>
      </w:r>
      <w:r>
        <w:t xml:space="preserve"> </w:t>
      </w:r>
      <w:r>
        <w:t xml:space="preserve">the eigenvectors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(numerical stability concerns at small</w:t>
      </w:r>
      <w:r>
        <w:t xml:space="preserve"> </w:t>
      </w:r>
      <m:oMath>
        <m:r>
          <m:t>K</m:t>
        </m:r>
      </m:oMath>
      <w:r>
        <w:t xml:space="preserve">).</w:t>
      </w:r>
    </w:p>
    <w:bookmarkEnd w:id="47"/>
    <w:bookmarkStart w:id="48" w:name="rationale.-7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The exact Hungarian solution is computable</w:t>
      </w:r>
      <w:r>
        <w:t xml:space="preserve"> </w:t>
      </w:r>
      <w:r>
        <w:t xml:space="preserve">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t xml:space="preserve">in milliseconds and is the standard</w:t>
      </w:r>
      <w:r>
        <w:t xml:space="preserve"> </w:t>
      </w:r>
      <w:r>
        <w:t xml:space="preserve">benchmark in the cluster-comparison literature.</w:t>
      </w:r>
    </w:p>
    <w:bookmarkEnd w:id="48"/>
    <w:bookmarkEnd w:id="49"/>
    <w:bookmarkStart w:id="54" w:name="f-9-preprocessing-stability-hidsag"/>
    <w:p>
      <w:pPr>
        <w:pStyle w:val="Heading1"/>
      </w:pPr>
      <w:r>
        <w:t xml:space="preserve">F-9: Preprocessing stability (HIDSAG)</w:t>
      </w:r>
    </w:p>
    <w:bookmarkStart w:id="50" w:name="question.-8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“Does the topic basis survive a change in</w:t>
      </w:r>
      <w:r>
        <w:t xml:space="preserve"> </w:t>
      </w:r>
      <w:r>
        <w:t xml:space="preserve">the preprocessing pipeline (continuum removal, smoothing,</w:t>
      </w:r>
      <w:r>
        <w:t xml:space="preserve"> </w:t>
      </w:r>
      <w:r>
        <w:t xml:space="preserve">derivative)?”</w:t>
      </w:r>
    </w:p>
    <w:bookmarkEnd w:id="50"/>
    <w:bookmarkStart w:id="51" w:name="metric.-8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ARI(dominant-topic recipe A, dominant-topic</w:t>
      </w:r>
      <w:r>
        <w:t xml:space="preserve"> </w:t>
      </w:r>
      <w:r>
        <w:t xml:space="preserve">recipe B) per pair, summarised as the mean ARI across the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R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pairs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recipes.</w:t>
      </w:r>
    </w:p>
    <w:bookmarkEnd w:id="51"/>
    <w:bookmarkStart w:id="52" w:name="alternatives-considered.-8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Phi-cosine pairwise</w:t>
      </w:r>
      <w:r>
        <w:t xml:space="preserve"> </w:t>
      </w:r>
      <w:r>
        <w:t xml:space="preserve">(basis-level, parallel to F-5’s alternative); (b) Recipe-conditioned</w:t>
      </w:r>
      <w:r>
        <w:t xml:space="preserve"> </w:t>
      </w:r>
      <w:r>
        <w:t xml:space="preserve">classification accuracy (drops the topic-level question);</w:t>
      </w:r>
      <w:r>
        <w:t xml:space="preserve"> </w:t>
      </w:r>
      <w:r>
        <w:t xml:space="preserve">(c) Procrustes alignment of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matrices (returns a continuous</w:t>
      </w:r>
      <w:r>
        <w:t xml:space="preserve"> </w:t>
      </w:r>
      <w:r>
        <w:t xml:space="preserve">similarity but does not produce a discrete per-pair scalar).</w:t>
      </w:r>
    </w:p>
    <w:bookmarkEnd w:id="52"/>
    <w:bookmarkStart w:id="53" w:name="rationale.-8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Mean pairwise ARI is the simplest summary</w:t>
      </w:r>
      <w:r>
        <w:t xml:space="preserve"> </w:t>
      </w:r>
      <w:r>
        <w:t xml:space="preserve">that yields a per-subset scalar comparable across HIDSAG subsets.</w:t>
      </w:r>
    </w:p>
    <w:bookmarkEnd w:id="53"/>
    <w:bookmarkEnd w:id="54"/>
    <w:bookmarkStart w:id="59" w:name="f-10-cross-scene-topic-transfer"/>
    <w:p>
      <w:pPr>
        <w:pStyle w:val="Heading1"/>
      </w:pPr>
      <w:r>
        <w:t xml:space="preserve">F-10: Cross-scene topic transfer</w:t>
      </w:r>
    </w:p>
    <w:bookmarkStart w:id="55" w:name="question.-9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“Does the canonical topic basis on scene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generate a useful topic representation on scene</w:t>
      </w:r>
      <w:r>
        <w:t xml:space="preserve"> </w:t>
      </w:r>
      <m:oMath>
        <m:r>
          <m:t>t</m:t>
        </m:r>
      </m:oMath>
      <w:r>
        <w:t xml:space="preserve">?”</w:t>
      </w:r>
    </w:p>
    <w:bookmarkEnd w:id="55"/>
    <w:bookmarkStart w:id="56" w:name="metric.-9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ARI(label</w:t>
      </w:r>
      <m:oMath>
        <m:sSub>
          <m:e>
            <m:r>
              <m:t>​</m:t>
            </m:r>
          </m:e>
          <m:sub>
            <m:r>
              <m:t>t</m:t>
            </m:r>
          </m:sub>
        </m:sSub>
      </m:oMath>
      <w:r>
        <w:t xml:space="preserve">, dominant-topic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θ</m:t>
        </m:r>
        <m:r>
          <m:rPr>
            <m:sty m:val="p"/>
          </m:rPr>
          <m:t>(</m:t>
        </m:r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) for the transfer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56"/>
    <w:bookmarkStart w:id="57" w:name="alternatives-considered.-9"/>
    <w:p>
      <w:pPr>
        <w:pStyle w:val="Heading4"/>
      </w:pPr>
      <w:r>
        <w:t xml:space="preserve">Alternatives considered.</w:t>
      </w:r>
    </w:p>
    <w:p>
      <w:pPr>
        <w:pStyle w:val="FirstParagraph"/>
      </w:pPr>
      <w:r>
        <w:t xml:space="preserve">(a) Held-out perplexity of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on scene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(loses the cluster-quality side);</w:t>
      </w:r>
      <w:r>
        <w:t xml:space="preserve"> </w:t>
      </w:r>
      <w:r>
        <w:t xml:space="preserve">(b) Top-words drift between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a refit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(a basis-level statistic that does not say whether the</w:t>
      </w:r>
      <w:r>
        <w:t xml:space="preserve"> </w:t>
      </w:r>
      <w:r>
        <w:t xml:space="preserve">transfer is useful downstream).</w:t>
      </w:r>
    </w:p>
    <w:bookmarkEnd w:id="57"/>
    <w:bookmarkStart w:id="58" w:name="rationale.-9"/>
    <w:p>
      <w:pPr>
        <w:pStyle w:val="Heading4"/>
      </w:pPr>
      <w:r>
        <w:t xml:space="preserve">Rationale.</w:t>
      </w:r>
    </w:p>
    <w:p>
      <w:pPr>
        <w:pStyle w:val="FirstParagraph"/>
      </w:pPr>
      <w:r>
        <w:t xml:space="preserve">The ARI report is the most directly</w:t>
      </w:r>
      <w:r>
        <w:t xml:space="preserve"> </w:t>
      </w:r>
      <w:r>
        <w:t xml:space="preserve">interpretable transfer score and is symmetric in the sense of</w:t>
      </w:r>
      <w:r>
        <w:t xml:space="preserve"> </w:t>
      </w:r>
      <w:r>
        <w:t xml:space="preserve">producing both</w:t>
      </w:r>
      <w:r>
        <w:t xml:space="preserve"> </w:t>
      </w:r>
      <m:oMath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numbers.</w:t>
      </w:r>
    </w:p>
    <w:bookmarkEnd w:id="58"/>
    <w:bookmarkEnd w:id="59"/>
    <w:bookmarkStart w:id="63" w:name="f-11-ratedistortion-of-theta"/>
    <w:p>
      <w:pPr>
        <w:pStyle w:val="Heading1"/>
      </w:pPr>
      <w:r>
        <w:t xml:space="preserve">F-11: Rate–distortion of</w:t>
      </w:r>
      <w:r>
        <w:t xml:space="preserve"> </w:t>
      </w:r>
      <m:oMath>
        <m:r>
          <m:t>θ</m:t>
        </m:r>
      </m:oMath>
    </w:p>
    <w:bookmarkStart w:id="60" w:name="question.-10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“How aggressively does the topic</w:t>
      </w:r>
      <w:r>
        <w:t xml:space="preserve"> </w:t>
      </w:r>
      <w:r>
        <w:t xml:space="preserve">representation compress the spectrum while remaining useful?”</w:t>
      </w:r>
    </w:p>
    <w:bookmarkEnd w:id="60"/>
    <w:bookmarkStart w:id="61" w:name="metric.-10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Per-pixel MSE(</w:t>
      </w: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sSup>
          <m:e>
            <m:r>
              <m:t>ϕ</m:t>
            </m:r>
          </m:e>
          <m:sup>
            <m:r>
              <m:rPr>
                <m:sty m:val="p"/>
              </m:rPr>
              <m:t>⊤</m:t>
            </m:r>
          </m:sup>
        </m:sSup>
        <m:r>
          <m:t>θ</m:t>
        </m:r>
        <m:r>
          <m:rPr>
            <m:sty m:val="p"/>
          </m:rPr>
          <m:t>,</m:t>
        </m:r>
        <m:r>
          <m:rPr>
            <m:sty m:val="bi"/>
          </m:rPr>
          <m:t>x</m:t>
        </m:r>
      </m:oMath>
      <w:r>
        <w:t xml:space="preserve">) versus rate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K</m:t>
        </m:r>
      </m:oMath>
      <w:r>
        <w:t xml:space="preserve">.</w:t>
      </w:r>
    </w:p>
    <w:bookmarkEnd w:id="61"/>
    <w:bookmarkStart w:id="62" w:name="caveat."/>
    <w:p>
      <w:pPr>
        <w:pStyle w:val="Heading4"/>
      </w:pPr>
      <w:r>
        <w:t xml:space="preserve">Caveat.</w:t>
      </w:r>
    </w:p>
    <w:p>
      <w:pPr>
        <w:pStyle w:val="FirstParagraph"/>
      </w:pPr>
      <w:r>
        <w:t xml:space="preserve">The reconstruction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t xml:space="preserve"> </w:t>
      </w:r>
      <w:r>
        <w:t xml:space="preserve">uses the</w:t>
      </w:r>
      <w:r>
        <w:t xml:space="preserve"> </w:t>
      </w:r>
      <w:r>
        <w:t xml:space="preserve">quantised band-frequency tokenisation; the MSE therefore mixes a</w:t>
      </w:r>
      <w:r>
        <w:t xml:space="preserve"> </w:t>
      </w:r>
      <w:r>
        <w:t xml:space="preserve">tokenisation-loss component into the rate–distortion curve. We</w:t>
      </w:r>
      <w:r>
        <w:t xml:space="preserve"> </w:t>
      </w:r>
      <w:r>
        <w:t xml:space="preserve">flag this as a limitation in journal §VII and as a candidate for</w:t>
      </w:r>
      <w:r>
        <w:t xml:space="preserve"> </w:t>
      </w:r>
      <w:r>
        <w:t xml:space="preserve">follow-up axis design.</w:t>
      </w:r>
    </w:p>
    <w:bookmarkEnd w:id="62"/>
    <w:bookmarkEnd w:id="63"/>
    <w:bookmarkStart w:id="70" w:name="f-12-external-baseline-comparison"/>
    <w:p>
      <w:pPr>
        <w:pStyle w:val="Heading1"/>
      </w:pPr>
      <w:r>
        <w:t xml:space="preserve">F-12: External baseline comparison</w:t>
      </w:r>
    </w:p>
    <w:bookmarkStart w:id="64" w:name="question.-11"/>
    <w:p>
      <w:pPr>
        <w:pStyle w:val="Heading4"/>
      </w:pPr>
      <w:r>
        <w:t xml:space="preserve">Question.</w:t>
      </w:r>
    </w:p>
    <w:p>
      <w:pPr>
        <w:pStyle w:val="FirstParagraph"/>
      </w:pPr>
      <w:r>
        <w:t xml:space="preserve">“How does the canonical topic-routed-soft OA</w:t>
      </w:r>
      <w:r>
        <w:t xml:space="preserve"> </w:t>
      </w:r>
      <w:r>
        <w:t xml:space="preserve">compare to the literature on the same scene?”</w:t>
      </w:r>
    </w:p>
    <w:bookmarkEnd w:id="64"/>
    <w:bookmarkStart w:id="65" w:name="metric.-11"/>
    <w:p>
      <w:pPr>
        <w:pStyle w:val="Heading4"/>
      </w:pPr>
      <w:r>
        <w:t xml:space="preserve">Metric.</w:t>
      </w:r>
    </w:p>
    <w:p>
      <w:pPr>
        <w:pStyle w:val="FirstParagraph"/>
      </w:pPr>
      <w:r>
        <w:t xml:space="preserve">OA delta = topic-routed-soft OA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best</w:t>
      </w:r>
      <w:r>
        <w:t xml:space="preserve"> </w:t>
      </w:r>
      <w:r>
        <w:t xml:space="preserve">published OA per scene, where</w:t>
      </w:r>
      <w:r>
        <w:t xml:space="preserve"> </w:t>
      </w:r>
      <w:r>
        <w:t xml:space="preserve">“best published”</w:t>
      </w:r>
      <w:r>
        <w:t xml:space="preserve"> </w:t>
      </w:r>
      <w:r>
        <w:t xml:space="preserve">is taken from a</w:t>
      </w:r>
      <w:r>
        <w:t xml:space="preserve"> </w:t>
      </w:r>
      <w:r>
        <w:t xml:space="preserve">fixed set of three reference papers per scene.</w:t>
      </w:r>
    </w:p>
    <w:bookmarkEnd w:id="65"/>
    <w:bookmarkStart w:id="69" w:name="caveat.-1"/>
    <w:p>
      <w:pPr>
        <w:pStyle w:val="Heading4"/>
      </w:pPr>
      <w:r>
        <w:t xml:space="preserve">Caveat.</w:t>
      </w:r>
    </w:p>
    <w:p>
      <w:pPr>
        <w:pStyle w:val="FirstParagraph"/>
      </w:pPr>
      <w:r>
        <w:t xml:space="preserve">Train/test splits across papers are not always</w:t>
      </w:r>
      <w:r>
        <w:t xml:space="preserve"> </w:t>
      </w:r>
      <w:r>
        <w:t xml:space="preserve">comparable, so the delta is reported with the per-paper split</w:t>
      </w:r>
      <w:r>
        <w:t xml:space="preserve"> </w:t>
      </w:r>
      <w:r>
        <w:t xml:space="preserve">caveat in journal §VII and in the artefact.</w:t>
      </w:r>
    </w:p>
    <w:bookmarkStart w:id="68" w:name="refs"/>
    <w:bookmarkStart w:id="67" w:name="ref-roder2015exploring"/>
    <w:p>
      <w:pPr>
        <w:pStyle w:val="Bibliography"/>
      </w:pPr>
      <w:r>
        <w:t xml:space="preserve">Röder, Michael, Andreas Both, and Alexander Hinneburg. 2015.</w:t>
      </w:r>
      <w:r>
        <w:t xml:space="preserve"> </w:t>
      </w:r>
      <w:r>
        <w:t xml:space="preserve">“Exploring the Space of Topic Coherence Measures.”</w:t>
      </w:r>
      <w:r>
        <w:t xml:space="preserve"> </w:t>
      </w:r>
      <w:r>
        <w:rPr>
          <w:i/>
          <w:iCs/>
        </w:rPr>
        <w:t xml:space="preserve">Proceedings of the Eighth ACM International Conference on Web Search and Data Mining (WSDM)</w:t>
      </w:r>
      <w:r>
        <w:t xml:space="preserve">, 399–408.</w:t>
      </w:r>
      <w:r>
        <w:t xml:space="preserve"> </w:t>
      </w:r>
      <w:hyperlink r:id="rId66">
        <w:r>
          <w:rPr>
            <w:rStyle w:val="Hyperlink"/>
          </w:rPr>
          <w:t xml:space="preserve">https://doi.org/10.1145/2684822.2685324</w:t>
        </w:r>
      </w:hyperlink>
      <w:r>
        <w:t xml:space="preserve">.</w:t>
      </w:r>
    </w:p>
    <w:bookmarkEnd w:id="67"/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https://doi.org/10.1145/2684822.268532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145/2684822.26853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C — Per-axis motivation and alternatives Companion to: Beyond Accuracy (Section III)</dc:title>
  <dc:creator>Felipe Santibáñez-Leal</dc:creator>
  <cp:keywords/>
  <dcterms:created xsi:type="dcterms:W3CDTF">2026-05-15T12:27:06Z</dcterms:created>
  <dcterms:modified xsi:type="dcterms:W3CDTF">2026-05-15T12:27:06Z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D:\_Repos\_Web_Projects\CAOS_LDA_HSI_Paper\bibliography\refs.bib</vt:lpwstr>
  </property>
  <property fmtid="{D5CDD505-2E9C-101B-9397-08002B2CF9AE}" pid="3" name="date">
    <vt:lpwstr>2026</vt:lpwstr>
  </property>
</Properties>
</file>