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Journal Supplementary D — Full mathematical derivations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Beyond Accuracy</w:t>
      </w:r>
      <w:r>
        <w:t xml:space="preserve"> </w:t>
      </w:r>
      <w:r>
        <w:t xml:space="preserve">(Section IV)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provides the complete mathematical content for the</w:t>
      </w:r>
      <w:r>
        <w:t xml:space="preserve"> </w:t>
      </w:r>
      <w:r>
        <w:t xml:space="preserve">twelve-axis framework: generative models, variational inference,</w:t>
      </w:r>
      <w:r>
        <w:t xml:space="preserve"> </w:t>
      </w:r>
      <w:r>
        <w:t xml:space="preserve">hierarchical Bayesian likelihood, coherence formulae, ARI and</w:t>
      </w:r>
      <w:r>
        <w:t xml:space="preserve"> </w:t>
      </w:r>
      <w:r>
        <w:t xml:space="preserve">Hungarian definitions, and the algorithmic pseudocode for each axis.</w:t>
      </w:r>
    </w:p>
    <w:bookmarkEnd w:id="9"/>
    <w:bookmarkStart w:id="13" w:name="canonical-generative-model"/>
    <w:p>
      <w:pPr>
        <w:pStyle w:val="Heading1"/>
      </w:pPr>
      <w:r>
        <w:t xml:space="preserve">Canonical generative model</w:t>
      </w:r>
    </w:p>
    <w:bookmarkStart w:id="10" w:name="lda-on-band-frequency-documents"/>
    <w:p>
      <w:pPr>
        <w:pStyle w:val="Heading2"/>
      </w:pPr>
      <w:r>
        <w:t xml:space="preserve">LDA on band-frequency documents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topics, vocabulary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band indices,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documents and</w:t>
      </w:r>
      <w:r>
        <w:t xml:space="preserve"> </w:t>
      </w:r>
      <w:r>
        <w:t xml:space="preserve">hyperparameters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ϕ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η</m:t>
              </m:r>
              <m:sSub>
                <m:e>
                  <m:r>
                    <m:rPr>
                      <m:sty m:val="b"/>
                    </m:rPr>
                    <m:t>1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α</m:t>
              </m:r>
              <m:sSub>
                <m:e>
                  <m:r>
                    <m:rPr>
                      <m:sty m:val="b"/>
                    </m:rPr>
                    <m:t>1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w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"/>
    <w:bookmarkStart w:id="11" w:name="online-vb-lower-bound"/>
    <w:p>
      <w:pPr>
        <w:pStyle w:val="Heading2"/>
      </w:pPr>
      <w:r>
        <w:t xml:space="preserve">Online VB lower bound</w:t>
      </w:r>
    </w:p>
    <w:p>
      <w:pPr>
        <w:pStyle w:val="FirstParagraph"/>
      </w:pPr>
      <w:r>
        <w:t xml:space="preserve">The mean-field variational family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∣</m:t>
        </m:r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∏"/>
                <m:limLoc m:val="undOvr"/>
                <m:subHide m:val="off"/>
                <m:supHide m:val="on"/>
              </m:naryPr>
              <m:sub>
                <m:r>
                  <m:t>n</m:t>
                </m:r>
              </m:sub>
              <m:sup>
                <m:r>
                  <m:t>​</m:t>
                </m:r>
              </m:sup>
              <m:e>
                <m:r>
                  <m:t>q</m:t>
                </m:r>
              </m:e>
            </m:nary>
            <m:r>
              <m:rPr>
                <m:sty m:val="p"/>
              </m:rPr>
              <m:t>(</m:t>
            </m:r>
            <m:sSub>
              <m:e>
                <m:r>
                  <m:t>z</m:t>
                </m:r>
              </m:e>
              <m:sub>
                <m:r>
                  <m:t>d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λ</m:t>
                </m:r>
              </m:e>
              <m:sub>
                <m:r>
                  <m:t>d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</m:sub>
            </m:sSub>
            <m:r>
              <m:rPr>
                <m:sty m:val="p"/>
              </m:rPr>
              <m:t>)</m:t>
            </m:r>
          </m:e>
        </m:d>
        <m:nary>
          <m:naryPr>
            <m:chr m:val="∏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t>q</m:t>
            </m:r>
          </m:e>
        </m:nary>
        <m:r>
          <m:rPr>
            <m:sty m:val="p"/>
          </m:rPr>
          <m:t>(</m:t>
        </m:r>
        <m:sSub>
          <m:e>
            <m:r>
              <m:t>ϕ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 The per-document ELBO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n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r>
                <m:rPr>
                  <m:sty m:val="p"/>
                </m:rPr>
                <m:t>[</m:t>
              </m:r>
              <m:r>
                <m:t>ψ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ψ</m:t>
              </m:r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nary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t>ψ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ψ</m:t>
              </m:r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v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λ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γ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ψ</m:t>
                  </m:r>
                  <m:r>
                    <m:rPr>
                      <m:sty m:val="p"/>
                    </m:rPr>
                    <m:t>(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sub>
                      </m:sSub>
                    </m:e>
                  </m:nary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Updates are Eq. (8) and Eq. (9) of the conference supplement B.</w:t>
      </w:r>
      <w:r>
        <w:t xml:space="preserve"> </w:t>
      </w:r>
      <w:r>
        <w:t xml:space="preserve">Online VB applies the natural-gradient ascent</w:t>
      </w:r>
      <w:r>
        <w:t xml:space="preserve"> </w:t>
      </w:r>
      <m:oMath>
        <m:r>
          <m:t>β</m:t>
        </m:r>
        <m:r>
          <m:rPr>
            <m:sty m:val="p"/>
          </m:rPr>
          <m:t>←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ρ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t>β</m:t>
        </m:r>
        <m:r>
          <m:rPr>
            <m:sty m:val="p"/>
          </m:rPr>
          <m:t>+</m:t>
        </m:r>
        <m:sSub>
          <m:e>
            <m:r>
              <m:t>ρ</m:t>
            </m:r>
          </m:e>
          <m:sub>
            <m:r>
              <m:t>t</m:t>
            </m:r>
          </m:sub>
        </m:sSub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ρ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κ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0.7</m:t>
        </m:r>
      </m:oMath>
      <w:r>
        <w:t xml:space="preserve">.</w:t>
      </w:r>
    </w:p>
    <w:bookmarkEnd w:id="11"/>
    <w:bookmarkStart w:id="12" w:name="posterior-summaries"/>
    <w:p>
      <w:pPr>
        <w:pStyle w:val="Heading2"/>
      </w:pPr>
      <w:r>
        <w:t xml:space="preserve">Posterior summaries</w:t>
      </w:r>
    </w:p>
    <w:p>
      <w:pPr>
        <w:pStyle w:val="FirstParagraph"/>
      </w:pPr>
      <m:oMath>
        <m:sSub>
          <m:e>
            <m:r>
              <m:t>ϕ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</m:sub>
            </m:sSub>
          </m:e>
        </m:nary>
      </m:oMath>
      <w:r>
        <w:t xml:space="preserve">;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t>​</m:t>
            </m:r>
          </m:sup>
          <m:e>
            <m:sSub>
              <m:e>
                <m:r>
                  <m:t>γ</m:t>
                </m:r>
              </m:e>
              <m:sub>
                <m:r>
                  <m:t>d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k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b>
            </m:sSub>
          </m:e>
        </m:nary>
      </m:oMath>
      <w:r>
        <w:t xml:space="preserve">;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.</w:t>
      </w:r>
    </w:p>
    <w:bookmarkEnd w:id="12"/>
    <w:bookmarkEnd w:id="13"/>
    <w:bookmarkStart w:id="16" w:name="axis-f-1-hierarchical-bayesian-model"/>
    <w:p>
      <w:pPr>
        <w:pStyle w:val="Heading1"/>
      </w:pPr>
      <w:r>
        <w:t xml:space="preserve">Axis F-1: hierarchical Bayesian model</w:t>
      </w:r>
    </w:p>
    <w:bookmarkStart w:id="14" w:name="likelihood"/>
    <w:p>
      <w:pPr>
        <w:pStyle w:val="Heading2"/>
      </w:pPr>
      <w:r>
        <w:t xml:space="preserve">Likelihood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methods,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scenes,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folds, observed fold-OA scores</w:t>
      </w:r>
      <w:r>
        <w:t xml:space="preserve"> </w:t>
      </w:r>
      <m:oMath>
        <m:sSub>
          <m:e>
            <m:r>
              <m:t>y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f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ρ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ρ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0.2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inference"/>
    <w:p>
      <w:pPr>
        <w:pStyle w:val="Heading2"/>
      </w:pPr>
      <w:r>
        <w:t xml:space="preserve">Inference</w:t>
      </w:r>
    </w:p>
    <w:p>
      <w:pPr>
        <w:pStyle w:val="FirstParagraph"/>
      </w:pPr>
      <w:r>
        <w:t xml:space="preserve">NUTS with 1000 draws + 1000 tune, 2 chains,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&lt;</m:t>
        </m:r>
        <m:r>
          <m:t>1.01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all parameters in all reported runs. Posterior mean and 94% HDI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reported;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B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are estimated from</w:t>
      </w:r>
      <w:r>
        <w:t xml:space="preserve"> </w:t>
      </w:r>
      <w:r>
        <w:t xml:space="preserve">the joint posterior draws as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[</m:t>
          </m:r>
          <m:sSub>
            <m:e>
              <m:r>
                <m:t>μ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sSubSup>
            <m:e>
              <m:r>
                <m:t>μ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&gt;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draws across two chains.</w:t>
      </w:r>
    </w:p>
    <w:bookmarkEnd w:id="15"/>
    <w:bookmarkEnd w:id="16"/>
    <w:bookmarkStart w:id="19" w:name="axis-f-2-coherence-measures"/>
    <w:p>
      <w:pPr>
        <w:pStyle w:val="Heading1"/>
      </w:pPr>
      <w:r>
        <w:t xml:space="preserve">Axis F-2: coherence measures</w:t>
      </w:r>
    </w:p>
    <w:bookmarkStart w:id="17" w:name="c_v-coherence"/>
    <w:p>
      <w:pPr>
        <w:pStyle w:val="Heading2"/>
      </w:pP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coherence</w:t>
      </w:r>
    </w:p>
    <w:p>
      <w:pPr>
        <w:pStyle w:val="FirstParagraph"/>
      </w:pPr>
      <w:r>
        <w:t xml:space="preserve">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top-</w:t>
      </w:r>
      <m:oMath>
        <m:r>
          <m:t>N</m:t>
        </m:r>
      </m:oMath>
      <w:r>
        <w:t xml:space="preserve"> </w:t>
      </w:r>
      <w:r>
        <w:t xml:space="preserve">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</w:t>
      </w:r>
      <w:r>
        <w:t xml:space="preserve"> </w:t>
      </w:r>
      <w:r>
        <w:t xml:space="preserve">NPMI between words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 sliding window of size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ϵ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topic context vector is</w:t>
      </w:r>
      <w:r>
        <w:t xml:space="preserve"> </w:t>
      </w:r>
      <m:oMath>
        <m:sSub>
          <m:e>
            <m:r>
              <m:rPr>
                <m:sty m:val="bi"/>
              </m:rP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ty m:val="bi"/>
                  </m:rPr>
                  <m:t>u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 The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score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bi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average cosine similarity between the topic context vector and</w:t>
      </w:r>
      <w:r>
        <w:t xml:space="preserve"> </w:t>
      </w:r>
      <w:r>
        <w:t xml:space="preserve">each word’s individual context vector. We use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default Röder sliding window of size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110</m:t>
        </m:r>
      </m:oMath>
      <w:r>
        <w:t xml:space="preserve">.</w:t>
      </w:r>
    </w:p>
    <w:bookmarkEnd w:id="17"/>
    <w:bookmarkStart w:id="18" w:name="npmi-and-u-mass"/>
    <w:p>
      <w:pPr>
        <w:pStyle w:val="Heading2"/>
      </w:pPr>
      <w:r>
        <w:t xml:space="preserve">NPMI and U-Mass</w:t>
      </w:r>
    </w:p>
    <w:p>
      <w:pPr>
        <w:pStyle w:val="FirstParagrap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NPMI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</m:nary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​</m:t>
        </m:r>
        <m:r>
          <m:rPr>
            <m:sty m:val="p"/>
          </m:rPr>
          <m:t>−</m:t>
        </m:r>
        <m:r>
          <m:rPr>
            <m:sty m:val="p"/>
          </m:rPr>
          <m:t>​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bookmarkEnd w:id="18"/>
    <w:bookmarkEnd w:id="19"/>
    <w:bookmarkStart w:id="20" w:name="axis-f-3-seed-stability"/>
    <w:p>
      <w:pPr>
        <w:pStyle w:val="Heading1"/>
      </w:pPr>
      <w:r>
        <w:t xml:space="preserve">Axis F-3: seed stability</w:t>
      </w:r>
    </w:p>
    <w:p>
      <w:pPr>
        <w:pStyle w:val="FirstParagraph"/>
      </w:pPr>
      <w:r>
        <w:t xml:space="preserve">For each (scene, method): refit five LDA / ProdLDA / ETM under seeds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 For each refit compute KMeans clustering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clusters; report ARI(</w:t>
      </w:r>
      <m:oMath>
        <m:sSub>
          <m:e>
            <m:r>
              <m:t>z</m:t>
            </m:r>
          </m:e>
          <m:sub>
            <m:r>
              <m:rPr>
                <m:nor/>
                <m:sty m:val="p"/>
              </m:rPr>
              <m:t>KMeans</m:t>
            </m:r>
          </m:sub>
        </m:sSub>
      </m:oMath>
      <w:r>
        <w:t xml:space="preserve">, label),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. Aggregate across seeds as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std.</w:t>
      </w:r>
    </w:p>
    <w:bookmarkEnd w:id="20"/>
    <w:bookmarkStart w:id="21" w:name="axis-f-4-capacity-sensitivity"/>
    <w:p>
      <w:pPr>
        <w:pStyle w:val="Heading1"/>
      </w:pPr>
      <w:r>
        <w:t xml:space="preserve">Axis F-4: capacity sensitivity</w:t>
      </w:r>
    </w:p>
    <w:p>
      <w:pPr>
        <w:pStyle w:val="FirstParagraph"/>
      </w:pPr>
      <w:r>
        <w:t xml:space="preserve">Refit LDA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}</m:t>
        </m:r>
      </m:oMath>
      <w:r>
        <w:t xml:space="preserve"> </w:t>
      </w:r>
      <w:r>
        <w:t xml:space="preserve">with the</w:t>
      </w:r>
      <w:r>
        <w:t xml:space="preserve"> </w:t>
      </w:r>
      <w:r>
        <w:t xml:space="preserve">canonical hyperparameters,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seeds per</w:t>
      </w:r>
      <w:r>
        <w:t xml:space="preserve"> </w:t>
      </w:r>
      <m:oMath>
        <m:r>
          <m:t>K</m:t>
        </m:r>
      </m:oMath>
      <w:r>
        <w:t xml:space="preserve">. Per-</w:t>
      </w:r>
      <m:oMath>
        <m:r>
          <m:t>K</m:t>
        </m:r>
      </m:oMath>
      <w:r>
        <w:t xml:space="preserve"> </w:t>
      </w:r>
      <w:r>
        <w:t xml:space="preserve">aggregates:</w:t>
      </w:r>
    </w:p>
    <w:p>
      <w:pPr>
        <w:numPr>
          <w:ilvl w:val="0"/>
          <w:numId w:val="1001"/>
        </w:numPr>
      </w:pPr>
      <w:r>
        <w:t xml:space="preserve">perplexity</w:t>
      </w:r>
      <m:oMath>
        <m:sSubSup>
          <m:e>
            <m:r>
              <m:t>​</m:t>
            </m:r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test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test</m:t>
                </m:r>
              </m:sub>
            </m:sSub>
            <m:r>
              <m:rPr>
                <m:sty m:val="p"/>
              </m:rPr>
              <m:t>|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d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test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r>
          <m:t>p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w</m:t>
            </m:r>
          </m:e>
          <m:sub>
            <m:r>
              <m:t>d</m:t>
            </m:r>
          </m:sub>
        </m:sSub>
        <m:r>
          <m:rPr>
            <m:sty m:val="p"/>
          </m:rPr>
          <m:t>∣</m:t>
        </m:r>
        <m:sSub>
          <m:e>
            <m:r>
              <m:t>ϕ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</w:p>
    <w:p>
      <w:pPr>
        <w:numPr>
          <w:ilvl w:val="0"/>
          <w:numId w:val="1001"/>
        </w:numPr>
      </w:pPr>
      <w:r>
        <w:t xml:space="preserve">topic-diversity</w:t>
      </w:r>
      <m:oMath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k</m:t>
                </m:r>
              </m:sub>
            </m:sSub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sup>
            </m:sSubSup>
            <m:r>
              <m:rPr>
                <m:sty m:val="p"/>
              </m:rPr>
              <m:t>|</m:t>
            </m:r>
          </m:num>
          <m:den>
            <m:r>
              <m:t>N</m:t>
            </m:r>
            <m:r>
              <m:rPr>
                <m:sty m:val="p"/>
              </m:rPr>
              <m:t>⋅</m:t>
            </m:r>
            <m:r>
              <m:t>K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the top-</w:t>
      </w:r>
      <m:oMath>
        <m:r>
          <m:t>N</m:t>
        </m:r>
      </m:oMath>
      <w:r>
        <w:t xml:space="preserve"> </w:t>
      </w:r>
      <w:r>
        <w:t xml:space="preserve">words per topic at capacity</w:t>
      </w:r>
      <w:r>
        <w:t xml:space="preserve"> </w:t>
      </w:r>
      <m:oMath>
        <m:r>
          <m:t>K</m:t>
        </m:r>
      </m:oMath>
      <w:r>
        <w:t xml:space="preserve">,</w:t>
      </w:r>
    </w:p>
    <w:p>
      <w:pPr>
        <w:numPr>
          <w:ilvl w:val="0"/>
          <w:numId w:val="1001"/>
        </w:numPr>
      </w:pPr>
      <w:r>
        <w:t xml:space="preserve">matched-cosine</w:t>
      </w:r>
      <m:oMath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mean over (seed pair, topic)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bSup>
          <m:e>
            <m:r>
              <m:t>ϕ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,</m:t>
        </m:r>
        <m:sSubSup>
          <m:e>
            <m:r>
              <m:t>ϕ</m:t>
            </m:r>
          </m:e>
          <m:sub>
            <m:sSup>
              <m:e>
                <m:r>
                  <m:t>σ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axis-f-5-paired-ari-under-masks"/>
    <w:p>
      <w:pPr>
        <w:pStyle w:val="Heading1"/>
      </w:pPr>
      <w:r>
        <w:t xml:space="preserve">Axis F-5: paired ARI under masks</w:t>
      </w:r>
    </w:p>
    <w:p>
      <w:pPr>
        <w:pStyle w:val="FirstParagraph"/>
      </w:pPr>
      <w:r>
        <w:t xml:space="preserve">Detailed in conference supplement B; restated here for cross-reference.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</m:e>
          <m:sub>
            <m:r>
              <m:rPr>
                <m:nor/>
                <m:sty m:val="p"/>
              </m:rPr>
              <m:t>paired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{</m:t>
        </m:r>
        <m:sSub>
          <m:e>
            <m:r>
              <m:t>z</m:t>
            </m:r>
          </m:e>
          <m:sub>
            <m:r>
              <m:t>d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rPr>
                <m:scr m:val="script"/>
                <m:sty m:val="p"/>
              </m:rPr>
              <m:t>S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{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sSub>
          <m:e>
            <m:r>
              <m:rPr>
                <m:sty m:val="p"/>
              </m:rPr>
              <m:t>}</m:t>
            </m:r>
          </m:e>
          <m:sub>
            <m:r>
              <m:rPr>
                <m:scr m:val="script"/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axis-f-6-cross-method-ari"/>
    <w:p>
      <w:pPr>
        <w:pStyle w:val="Heading1"/>
      </w:pPr>
      <w:r>
        <w:t xml:space="preserve">Axis F-6: cross-method ARI</w:t>
      </w:r>
    </w:p>
    <w:p>
      <w:pPr>
        <w:pStyle w:val="FirstParagraph"/>
      </w:pPr>
      <w:r>
        <w:t xml:space="preserve">For each scene compute the partition set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nor/>
            <m:sty m:val="p"/>
          </m:rPr>
          <m:t>label</m:t>
        </m:r>
        <m:r>
          <m:rPr>
            <m:sty m:val="p"/>
          </m:rPr>
          <m:t>,</m:t>
        </m:r>
        <m:r>
          <m:rPr>
            <m:nor/>
            <m:sty m:val="p"/>
          </m:rPr>
          <m:t>topic-dom</m:t>
        </m:r>
        <m:r>
          <m:rPr>
            <m:sty m:val="p"/>
          </m:rPr>
          <m:t>,</m:t>
        </m:r>
        <m:r>
          <m:rPr>
            <m:nor/>
            <m:sty m:val="p"/>
          </m:rPr>
          <m:t>Felz</m:t>
        </m:r>
        <m:r>
          <m:rPr>
            <m:sty m:val="p"/>
          </m:rPr>
          <m:t>,</m:t>
        </m:r>
        <m:r>
          <m:rPr>
            <m:nor/>
            <m:sty m:val="p"/>
          </m:rPr>
          <m:t>SLIC-500</m:t>
        </m:r>
        <m:r>
          <m:rPr>
            <m:sty m:val="p"/>
          </m:rPr>
          <m:t>,</m:t>
        </m:r>
        <m:r>
          <m:rPr>
            <m:nor/>
            <m:sty m:val="p"/>
          </m:rPr>
          <m:t>SLIC-2000</m:t>
        </m:r>
        <m:r>
          <m:rPr>
            <m:sty m:val="p"/>
          </m:rPr>
          <m:t>,</m:t>
        </m:r>
        <m:r>
          <m:rPr>
            <m:nor/>
            <m:sty m:val="p"/>
          </m:rPr>
          <m:t>p-15</m:t>
        </m:r>
        <m:r>
          <m:rPr>
            <m:sty m:val="p"/>
          </m:rPr>
          <m:t>,</m:t>
        </m:r>
        <m:r>
          <m:rPr>
            <m:nor/>
            <m:sty m:val="p"/>
          </m:rPr>
          <m:t>p-7</m:t>
        </m:r>
        <m:r>
          <m:rPr>
            <m:sty m:val="p"/>
          </m:rPr>
          <m:t>,</m:t>
        </m:r>
        <m:r>
          <m:rPr>
            <m:nor/>
            <m:sty m:val="p"/>
          </m:rPr>
          <m:t>px</m:t>
        </m:r>
        <m:r>
          <m:rPr>
            <m:sty m:val="p"/>
          </m:rPr>
          <m:t>}</m:t>
        </m:r>
      </m:oMath>
      <w:r>
        <w:t xml:space="preserve">. The reported matrix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cr m:val="script"/>
                  <m:sty m:val="p"/>
                </m:rP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restricted to pixels with a valid (non-sentinel) value in both</w:t>
      </w:r>
      <w:r>
        <w:t xml:space="preserve"> </w:t>
      </w:r>
      <w:r>
        <w:t xml:space="preserve">partitions. NMI matrix is computed analogously.</w:t>
      </w:r>
    </w:p>
    <w:bookmarkEnd w:id="23"/>
    <w:bookmarkStart w:id="24" w:name="axis-f-7-topiclabel-coupling"/>
    <w:p>
      <w:pPr>
        <w:pStyle w:val="Heading1"/>
      </w:pPr>
      <w:r>
        <w:t xml:space="preserve">Axis F-7: topic–label coupling</w:t>
      </w:r>
    </w:p>
    <w:p>
      <w:pPr>
        <w:pStyle w:val="FirstParagraph"/>
      </w:pPr>
      <w:r>
        <w:t xml:space="preserve">For each (canonical topic</w:t>
      </w:r>
      <w:r>
        <w:t xml:space="preserve"> </w:t>
      </w:r>
      <m:oMath>
        <m:r>
          <m:t>t</m:t>
        </m:r>
      </m:oMath>
      <w:r>
        <w:t xml:space="preserve">, label</w:t>
      </w:r>
      <w:r>
        <w:t xml:space="preserve"> </w:t>
      </w:r>
      <m:oMath>
        <m:r>
          <m:t>ℓ</m:t>
        </m:r>
      </m:oMath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ℓ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b>
            </m:sSub>
          </m:e>
        </m:nary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ℓ</m:t>
            </m:r>
          </m:sub>
        </m:sSub>
      </m:oMath>
      <w:r>
        <w:t xml:space="preserve"> </w:t>
      </w:r>
      <w:r>
        <w:t xml:space="preserve">the count of pixels with dominant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ground</w:t>
      </w:r>
      <w:r>
        <w:t xml:space="preserve"> </w:t>
      </w:r>
      <w:r>
        <w:t xml:space="preserve">truth</w:t>
      </w:r>
      <w:r>
        <w:t xml:space="preserve"> </w:t>
      </w:r>
      <m:oMath>
        <m:r>
          <m:t>ℓ</m:t>
        </m:r>
      </m:oMath>
      <w:r>
        <w:t xml:space="preserve">. Per-topic Shannon entropy: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ℓ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Per-topic KL divergence from the marginal: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L</m:t>
        </m:r>
        <m:r>
          <m:t>​</m:t>
        </m:r>
        <m:d>
          <m:dPr>
            <m:begChr m:val="("/>
            <m:sepChr m:val="∥"/>
            <m:endChr m:val=")"/>
            <m:grow/>
          </m:dPr>
          <m:e>
            <m:r>
              <m:t>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∣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</m:e>
          <m:e>
            <m:r>
              <m:t> </m:t>
            </m:r>
            <m:r>
              <m:t>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ℓ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4"/>
    <w:bookmarkStart w:id="25" w:name="axis-f-8-per-topic-hungarian-alignment"/>
    <w:p>
      <w:pPr>
        <w:pStyle w:val="Heading1"/>
      </w:pPr>
      <w:r>
        <w:t xml:space="preserve">Axis F-8: per-topic Hungarian alignment</w:t>
      </w:r>
    </w:p>
    <w:p>
      <w:pPr>
        <w:pStyle w:val="FirstParagraph"/>
      </w:pPr>
      <w:r>
        <w:t xml:space="preserve">Confusion matrix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: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∧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Hungarian: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σ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σ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solved by</w:t>
      </w:r>
      <w:r>
        <w:t xml:space="preserve"> </w:t>
      </w:r>
      <w:r>
        <w:rPr>
          <w:rStyle w:val="VerbatimChar"/>
        </w:rPr>
        <w:t xml:space="preserve">scipy.optimize.linear_sum_assignment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Swap rate: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w</m:t>
        </m:r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cr m:val="script"/>
            <m:sty m:val="p"/>
          </m:rPr>
          <m:t>S</m:t>
        </m:r>
        <m:sSup>
          <m:e>
            <m:r>
              <m:rPr>
                <m:sty m:val="p"/>
              </m:rPr>
              <m:t>|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rPr>
                <m:sty m:val="b"/>
              </m:rPr>
              <m:t>1</m:t>
            </m:r>
          </m:e>
        </m:nary>
        <m:r>
          <m:rPr>
            <m:sty m:val="p"/>
          </m:rPr>
          <m:t>[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≠</m:t>
        </m:r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6" w:name="axis-f-9-hidsag-preprocessing-stability"/>
    <w:p>
      <w:pPr>
        <w:pStyle w:val="Heading1"/>
      </w:pPr>
      <w:r>
        <w:t xml:space="preserve">Axis F-9: HIDSAG preprocessing stability</w:t>
      </w:r>
    </w:p>
    <w:p>
      <w:pPr>
        <w:pStyle w:val="FirstParagraph"/>
      </w:pPr>
      <w:r>
        <w:t xml:space="preserve">For each HIDSAG subset,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preprocessing recipes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cont-rem</m:t>
        </m:r>
        <m:r>
          <m:rPr>
            <m:sty m:val="p"/>
          </m:rPr>
          <m:t>,</m:t>
        </m:r>
        <m:r>
          <m:rPr>
            <m:nor/>
            <m:sty m:val="p"/>
          </m:rPr>
          <m:t>deriv</m:t>
        </m:r>
        <m:r>
          <m:rPr>
            <m:sty m:val="p"/>
          </m:rPr>
          <m:t>,</m:t>
        </m:r>
        <m:r>
          <m:rPr>
            <m:nor/>
            <m:sty m:val="p"/>
          </m:rPr>
          <m:t>smooth</m:t>
        </m:r>
        <m:r>
          <m:rPr>
            <m:sty m:val="p"/>
          </m:rPr>
          <m:t>}</m:t>
        </m:r>
      </m:oMath>
      <w:r>
        <w:t xml:space="preserve">. For each recipe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dom-top</m:t>
            </m:r>
          </m:e>
          <m:sub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dom-top</m:t>
            </m:r>
          </m:e>
          <m:sub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 the</w:t>
      </w:r>
      <w:r>
        <w:t xml:space="preserve"> </w:t>
      </w:r>
      <w:r>
        <w:t xml:space="preserve">documents present in both recipes. Per-subset aggregate is the mean</w:t>
      </w:r>
      <w:r>
        <w:t xml:space="preserve"> </w:t>
      </w:r>
      <w:r>
        <w:t xml:space="preserve">over the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pairs.</w:t>
      </w:r>
    </w:p>
    <w:bookmarkEnd w:id="26"/>
    <w:bookmarkStart w:id="27" w:name="axis-f-10-cross-scene-transfer"/>
    <w:p>
      <w:pPr>
        <w:pStyle w:val="Heading1"/>
      </w:pPr>
      <w:r>
        <w:t xml:space="preserve">Axis F-10: cross-scene transfer</w:t>
      </w:r>
    </w:p>
    <w:p>
      <w:pPr>
        <w:pStyle w:val="FirstParagraph"/>
      </w:pPr>
      <w:r>
        <w:t xml:space="preserve">Given scene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canonical basis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</m:oMath>
      <w:r>
        <w:t xml:space="preserve">, project the</w:t>
      </w:r>
      <w:r>
        <w:t xml:space="preserve"> </w:t>
      </w:r>
      <w:r>
        <w:t xml:space="preserve">documents of scene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through one E-step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γ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←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</m:sub>
            <m:sup>
              <m:r>
                <m:t>​</m:t>
              </m:r>
            </m:sup>
            <m:e>
              <m:sSubSup>
                <m:e>
                  <m:r>
                    <m:t>λ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←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computed from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frozen. The transfer</w:t>
      </w:r>
      <w:r>
        <w:t xml:space="preserve"> </w:t>
      </w:r>
      <w:r>
        <w:t xml:space="preserve">report is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label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←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axis-f-11-ratedistortion"/>
    <w:p>
      <w:pPr>
        <w:pStyle w:val="Heading1"/>
      </w:pPr>
      <w:r>
        <w:t xml:space="preserve">Axis F-11: rate–distortion</w:t>
      </w:r>
    </w:p>
    <w:p>
      <w:pPr>
        <w:pStyle w:val="FirstParagraph"/>
      </w:pPr>
      <w:r>
        <w:t xml:space="preserve">Reconstruct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d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</m:e>
        </m:nary>
        <m:sSubSup>
          <m:e>
            <m:r>
              <m:t>ϕ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⊤</m:t>
            </m:r>
          </m:sup>
        </m:sSubSup>
      </m:oMath>
      <w:r>
        <w:t xml:space="preserve"> </w:t>
      </w:r>
      <w:r>
        <w:t xml:space="preserve">in the</w:t>
      </w:r>
      <w:r>
        <w:t xml:space="preserve"> </w:t>
      </w:r>
      <w:r>
        <w:t xml:space="preserve">band-frequency-count space, then de-quantise to a continuous</w:t>
      </w:r>
      <w:r>
        <w:t xml:space="preserve"> </w:t>
      </w:r>
      <w:r>
        <w:t xml:space="preserve">reflectance via the inverse of the canonical tokenisation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  <m:sup>
            <m:r>
              <m:rPr>
                <m:nor/>
                <m:sty m:val="p"/>
              </m:rPr>
              <m:t>recon</m:t>
            </m:r>
          </m:sup>
        </m:sSubSup>
        <m:r>
          <m:rPr>
            <m:sty m:val="p"/>
          </m:rPr>
          <m:t>/</m:t>
        </m:r>
        <m:r>
          <m:t>Q</m:t>
        </m:r>
      </m:oMath>
      <w:r>
        <w:t xml:space="preserve">. Distortion is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∥</m:t>
            </m:r>
          </m:e>
        </m:nary>
        <m:sSub>
          <m:e>
            <m:acc>
              <m:accPr>
                <m:chr m:val="̂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x</m:t>
            </m:r>
          </m:e>
          <m:sub>
            <m:r>
              <m:t>d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rate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bits.</w:t>
      </w:r>
    </w:p>
    <w:bookmarkEnd w:id="28"/>
    <w:bookmarkStart w:id="29" w:name="axis-f-12-external-baseline"/>
    <w:p>
      <w:pPr>
        <w:pStyle w:val="Heading1"/>
      </w:pPr>
      <w:r>
        <w:t xml:space="preserve">Axis F-12: external baseline</w:t>
      </w:r>
    </w:p>
    <w:p>
      <w:pPr>
        <w:pStyle w:val="FirstParagraph"/>
      </w:pPr>
      <w:r>
        <w:t xml:space="preserve">For each labelled scene, collect three reference OA values from</w:t>
      </w:r>
      <w:r>
        <w:t xml:space="preserve"> </w:t>
      </w:r>
      <w:r>
        <w:t xml:space="preserve">prior published work. Report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Sup>
          <m:e>
            <m:r>
              <m:rPr>
                <m:nor/>
                <m:sty m:val="p"/>
              </m:rPr>
              <m:t>OA</m:t>
            </m:r>
          </m:e>
          <m:sub>
            <m:r>
              <m:t>s</m:t>
            </m:r>
          </m:sub>
          <m:sup>
            <m:r>
              <m:rPr>
                <m:nor/>
                <m:sty m:val="p"/>
              </m:rPr>
              <m:t>topic-routed-soft</m:t>
            </m:r>
          </m:sup>
        </m:sSubSup>
        <m:r>
          <m:rPr>
            <m:sty m:val="p"/>
          </m:rPr>
          <m:t>−</m:t>
        </m:r>
        <m:sSub>
          <m:e>
            <m:r>
              <m:rPr>
                <m:sty m:val="p"/>
              </m:rPr>
              <m:t>max</m:t>
            </m:r>
          </m:e>
          <m:sub>
            <m:r>
              <m:t>r</m:t>
            </m:r>
            <m:r>
              <m:rPr>
                <m:sty m:val="p"/>
              </m:rPr>
              <m:t>∈</m:t>
            </m:r>
            <m:r>
              <m:rPr>
                <m:nor/>
                <m:sty m:val="p"/>
              </m:rPr>
              <m:t>refs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b>
        </m:sSub>
        <m:sSubSup>
          <m:e>
            <m:r>
              <m:rPr>
                <m:nor/>
                <m:sty m:val="p"/>
              </m:rPr>
              <m:t>OA</m:t>
            </m:r>
          </m:e>
          <m:sub>
            <m:r>
              <m:t>s</m:t>
            </m:r>
          </m:sub>
          <m:sup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with the per-paper split caveat.</w:t>
      </w:r>
    </w:p>
    <w:bookmarkEnd w:id="29"/>
    <w:bookmarkStart w:id="30" w:name="Xbf19b15b17a4700037e38c78e9ba5808ff439f5"/>
    <w:p>
      <w:pPr>
        <w:pStyle w:val="Heading1"/>
      </w:pPr>
      <w:r>
        <w:t xml:space="preserve">Inverse Hungarian (used in F-8 swap-rate computation)</w:t>
      </w:r>
    </w:p>
    <w:p>
      <w:pPr>
        <w:pStyle w:val="FirstParagraph"/>
      </w:pPr>
      <w:r>
        <w:t xml:space="preserve">The post-permutation confusion matrix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used for the</w:t>
      </w:r>
      <w:r>
        <w:t xml:space="preserve"> </w:t>
      </w:r>
      <w:r>
        <w:t xml:space="preserve">journal Figure 3(b) panel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moves the matched diagonal to the main diagonal. The right</w:t>
      </w:r>
      <w:r>
        <w:t xml:space="preserve"> </w:t>
      </w:r>
      <w:r>
        <w:t xml:space="preserve">panel of journal Figure 3 visualises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directly.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Supplementary D — Full mathematical derivations Companion to: Beyond Accuracy (Section IV)</dc:title>
  <dc:creator>Felipe Santibáñez-Leal</dc:creator>
  <cp:keywords/>
  <dcterms:created xsi:type="dcterms:W3CDTF">2026-05-15T12:27:08Z</dcterms:created>
  <dcterms:modified xsi:type="dcterms:W3CDTF">2026-05-15T12:27:08Z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D:\_Repos\_Web_Projects\CAOS_LDA_HSI_Paper\bibliography\refs.bib</vt:lpwstr>
  </property>
  <property fmtid="{D5CDD505-2E9C-101B-9397-08002B2CF9AE}" pid="3" name="date">
    <vt:lpwstr>2026</vt:lpwstr>
  </property>
</Properties>
</file>