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df" ContentType="application/pdf"/>
  <Override PartName="/word/media/rId44.pdf" ContentType="application/pdf"/>
  <Override PartName="/word/media/rId48.pdf" ContentType="application/pdf"/>
  <Override PartName="/word/media/rId40.pdf" ContentType="application/pdf"/>
  <Override PartName="/word/media/rId35.pdf" ContentType="application/pdf"/>
  <Override PartName="/word/media/rId15.pdf" ContentType="application/pdf"/>
  <Override PartName="/word/media/rId25.pdf" ContentType="application/pdf"/>
  <Override PartName="/word/media/rId10.pdf" ContentType="application/pdf"/>
  <Override PartName="/word/media/rId20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Journal Supplementary I — Relating topics to labels and</w:t>
      </w:r>
      <w:r>
        <w:t xml:space="preserve"> </w:t>
      </w:r>
      <w:r>
        <w:t xml:space="preserve">covariates: a visual annex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Beyond Accuracy</w:t>
      </w:r>
      <w:r>
        <w:t xml:space="preserve"> </w:t>
      </w:r>
      <w:r>
        <w:t xml:space="preserve">(cross-section relational</w:t>
      </w:r>
      <w:r>
        <w:t xml:space="preserve"> </w:t>
      </w:r>
      <w:r>
        <w:t xml:space="preserve">visualisations)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-and-motivation"/>
    <w:p>
      <w:pPr>
        <w:pStyle w:val="Heading1"/>
      </w:pPr>
      <w:r>
        <w:t xml:space="preserve">Scope and motivation</w:t>
      </w:r>
    </w:p>
    <w:p>
      <w:pPr>
        <w:pStyle w:val="FirstParagraph"/>
      </w:pPr>
      <w:r>
        <w:t xml:space="preserve">The journal main paper and its earlier supplements (A–H) defend the</w:t>
      </w:r>
      <w:r>
        <w:t xml:space="preserve"> </w:t>
      </w:r>
      <w:r>
        <w:t xml:space="preserve">twelve-axis evaluation framework F-1..F-12 with figures that are</w:t>
      </w:r>
      <w:r>
        <w:t xml:space="preserve"> </w:t>
      </w:r>
      <w:r>
        <w:t xml:space="preserve">either</w:t>
      </w:r>
      <w:r>
        <w:t xml:space="preserve"> </w:t>
      </w:r>
      <w:r>
        <w:rPr>
          <w:i/>
          <w:iCs/>
        </w:rPr>
        <w:t xml:space="preserve">per-axis scalars</w:t>
      </w:r>
      <w:r>
        <w:t xml:space="preserve"> </w:t>
      </w:r>
      <w:r>
        <w:t xml:space="preserve">(paired ARI, coherence, seed</w:t>
      </w:r>
      <w:r>
        <w:t xml:space="preserve"> </w:t>
      </w:r>
      <w:r>
        <w:t xml:space="preserve">stability, etc.) or</w:t>
      </w:r>
      <w:r>
        <w:t xml:space="preserve"> </w:t>
      </w:r>
      <w:r>
        <w:rPr>
          <w:i/>
          <w:iCs/>
        </w:rPr>
        <w:t xml:space="preserve">per-topic intrinsic</w:t>
      </w:r>
      <w:r>
        <w:t xml:space="preserve"> </w:t>
      </w:r>
      <w:r>
        <w:t xml:space="preserve">(basis spectra,</w:t>
      </w:r>
      <w:r>
        <w:t xml:space="preserve"> </w:t>
      </w:r>
      <w:r>
        <w:t xml:space="preserve">pairwise distances). What is left under-visualised is the</w:t>
      </w:r>
      <w:r>
        <w:t xml:space="preserve"> </w:t>
      </w:r>
      <w:r>
        <w:rPr>
          <w:b/>
          <w:bCs/>
        </w:rPr>
        <w:t xml:space="preserve">relational</w:t>
      </w:r>
      <w:r>
        <w:t xml:space="preserve"> </w:t>
      </w:r>
      <w:r>
        <w:t xml:space="preserve">question that motivates topic modelling in the</w:t>
      </w:r>
      <w:r>
        <w:t xml:space="preserve"> </w:t>
      </w:r>
      <w:r>
        <w:t xml:space="preserve">first place:</w:t>
      </w:r>
      <w:r>
        <w:t xml:space="preserve"> </w:t>
      </w:r>
      <w:r>
        <w:rPr>
          <w:i/>
          <w:iCs/>
        </w:rPr>
        <w:t xml:space="preserve">do the topics actually relate to the labels and</w:t>
      </w:r>
      <w:r>
        <w:rPr>
          <w:i/>
          <w:iCs/>
        </w:rPr>
        <w:t xml:space="preserve"> </w:t>
      </w:r>
      <w:r>
        <w:rPr>
          <w:i/>
          <w:iCs/>
        </w:rPr>
        <w:t xml:space="preserve">covariates we already have?</w:t>
      </w:r>
      <w:r>
        <w:t xml:space="preserve"> </w:t>
      </w:r>
      <w:r>
        <w:t xml:space="preserve">This supplement fills that gap with six</w:t>
      </w:r>
      <w:r>
        <w:t xml:space="preserve"> </w:t>
      </w:r>
      <w:r>
        <w:t xml:space="preserve">figures, each chosen for a distinct cognitive question, with</w:t>
      </w:r>
      <w:r>
        <w:t xml:space="preserve"> </w:t>
      </w:r>
      <w:r>
        <w:t xml:space="preserve">references to the underlying visualisation tradition.</w:t>
      </w:r>
    </w:p>
    <w:bookmarkEnd w:id="9"/>
    <w:bookmarkStart w:id="14" w:name="Xe832ef64decc41223333740b84232345e144fc9"/>
    <w:p>
      <w:pPr>
        <w:pStyle w:val="Heading1"/>
      </w:pPr>
      <w:r>
        <w:t xml:space="preserve">F-7 viewed relationally: topic × class soft heatmap</w:t>
      </w:r>
    </w:p>
    <w:bookmarkStart w:id="13" w:name="fig:tc-heatmap"/>
    <w:p>
      <w:pPr>
        <w:pStyle w:val="CaptionedFigure"/>
      </w:pPr>
      <w:r>
        <w:drawing>
          <wp:inline>
            <wp:extent cx="5334000" cy="60156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topic-class-heatmap.pdf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5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× class soft heatmap per labelled scene. Rows =</w:t>
      </w:r>
      <w:r>
        <w:t xml:space="preserve"> </w:t>
      </w:r>
      <w:r>
        <w:t xml:space="preserve">canonical topics (with document count); columns = ground-truth</w:t>
      </w:r>
      <w:r>
        <w:t xml:space="preserve"> </w:t>
      </w:r>
      <w:r>
        <w:t xml:space="preserve">labels; cell intensity =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, the conditional label</w:t>
      </w:r>
      <w:r>
        <w:t xml:space="preserve"> </w:t>
      </w:r>
      <w:r>
        <w:t xml:space="preserve">distribution given dominant topic. Top strip = label marginal weighted</w:t>
      </w:r>
      <w:r>
        <w:t xml:space="preserve"> </w:t>
      </w:r>
      <w:r>
        <w:t xml:space="preserve">by topic prevalence. Truncated class names appear on the x-axis.</w:t>
      </w:r>
    </w:p>
    <w:bookmarkEnd w:id="13"/>
    <w:p>
      <w:pPr>
        <w:pStyle w:val="BodyText"/>
      </w:pPr>
      <w:r>
        <w:t xml:space="preserve">This is the probabilistic generalisation of the confusion matrix.</w:t>
      </w:r>
      <w:r>
        <w:t xml:space="preserve"> </w:t>
      </w:r>
      <w:r>
        <w:t xml:space="preserve">Each cell exposes</w:t>
      </w:r>
      <w:r>
        <w:t xml:space="preserve"> </w:t>
      </w:r>
      <w:r>
        <w:rPr>
          <w:i/>
          <w:iCs/>
        </w:rPr>
        <w:t xml:space="preserve">conditional label support</w:t>
      </w:r>
      <w:r>
        <w:t xml:space="preserve">: a class-pure</w:t>
      </w:r>
      <w:r>
        <w:t xml:space="preserve"> </w:t>
      </w:r>
      <w:r>
        <w:t xml:space="preserve">topic has one tall cell, a mixed topic spreads across columns. The</w:t>
      </w:r>
      <w:r>
        <w:t xml:space="preserve"> </w:t>
      </w:r>
      <w:r>
        <w:t xml:space="preserve">top strip lets the reader gauge whether topic-weighted marginals</w:t>
      </w:r>
      <w:r>
        <w:t xml:space="preserve"> </w:t>
      </w:r>
      <w:r>
        <w:t xml:space="preserve">match the unconditional class prior. Following the mosaic-display</w:t>
      </w:r>
      <w:r>
        <w:t xml:space="preserve"> </w:t>
      </w:r>
      <w:r>
        <w:t xml:space="preserve">tradition of Friendly </w:t>
      </w:r>
      <w:r>
        <w:t xml:space="preserve">(Friendly 1994)</w:t>
      </w:r>
      <w:r>
        <w:t xml:space="preserve"> </w:t>
      </w:r>
      <w:r>
        <w:t xml:space="preserve">and the</w:t>
      </w:r>
      <w:r>
        <w:t xml:space="preserve"> </w:t>
      </w:r>
      <w:r>
        <w:t xml:space="preserve">single-cell-LDA precedent of TITAN’s</w:t>
      </w:r>
      <w:r>
        <w:t xml:space="preserve"> </w:t>
      </w:r>
      <w:r>
        <w:rPr>
          <w:rStyle w:val="VerbatimChar"/>
        </w:rPr>
        <w:t xml:space="preserve">HeatmapTopic</w:t>
      </w:r>
      <w:r>
        <w:t xml:space="preserve">.</w:t>
      </w:r>
    </w:p>
    <w:bookmarkEnd w:id="14"/>
    <w:bookmarkStart w:id="19" w:name="X7594f82943ed592fa38495ec4c41d55ff50b7e3"/>
    <w:p>
      <w:pPr>
        <w:pStyle w:val="Heading1"/>
      </w:pPr>
      <w:r>
        <w:t xml:space="preserve">F-7 again: per-topic class-distribution bars</w:t>
      </w:r>
    </w:p>
    <w:bookmarkStart w:id="18" w:name="fig:tc-bars"/>
    <w:p>
      <w:pPr>
        <w:pStyle w:val="CaptionedFigure"/>
      </w:pPr>
      <w:r>
        <w:drawing>
          <wp:inline>
            <wp:extent cx="5334000" cy="2494564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er-topic-class-bars.pdf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Per-topic class distribution. Each row inside a panel is</w:t>
      </w:r>
      <w:r>
        <w:t xml:space="preserve"> </w:t>
      </w:r>
      <w:r>
        <w:t xml:space="preserve">one canonical topic; bar height</w:t>
      </w:r>
      <w:r>
        <w:t xml:space="preserve"> </w:t>
      </w:r>
      <m:oMath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, coloured with the</w:t>
      </w:r>
      <w:r>
        <w:t xml:space="preserve"> </w:t>
      </w:r>
      <w:r>
        <w:t xml:space="preserve">canonical class palette so the same class is visually identifiable</w:t>
      </w:r>
      <w:r>
        <w:t xml:space="preserve"> </w:t>
      </w:r>
      <w:r>
        <w:t xml:space="preserve">across topics. A topic that resolves one or two classes shows as a</w:t>
      </w:r>
      <w:r>
        <w:t xml:space="preserve"> </w:t>
      </w:r>
      <w:r>
        <w:t xml:space="preserve">single tall bar; a topic that mixes classes shows as a spread. The</w:t>
      </w:r>
      <w:r>
        <w:t xml:space="preserve"> </w:t>
      </w:r>
      <w:r>
        <w:t xml:space="preserve">categorical analogue of the</w:t>
      </w:r>
      <w:r>
        <w:t xml:space="preserve"> </w:t>
      </w:r>
      <w:r>
        <w:rPr>
          <w:rStyle w:val="VerbatimChar"/>
        </w:rPr>
        <w:t xml:space="preserve">ggridges</w:t>
      </w:r>
      <w:r>
        <w:t xml:space="preserve"> </w:t>
      </w:r>
      <w:r>
        <w:t xml:space="preserve">joy-plot</w:t>
      </w:r>
      <w:r>
        <w:t xml:space="preserve"> </w:t>
      </w:r>
      <w:r>
        <w:t xml:space="preserve">pattern </w:t>
      </w:r>
      <w:r>
        <w:t xml:space="preserve">(Wilke 2017; Hintze and Nelson 1998)</w:t>
      </w:r>
      <w:r>
        <w:t xml:space="preserve">.</w:t>
      </w:r>
    </w:p>
    <w:bookmarkEnd w:id="18"/>
    <w:p>
      <w:pPr>
        <w:pStyle w:val="BodyText"/>
      </w:pPr>
      <w:r>
        <w:t xml:space="preserve">The bars and the heatmap are duals; the heatmap optimises for</w:t>
      </w:r>
      <w:r>
        <w:t xml:space="preserve"> </w:t>
      </w:r>
      <w:r>
        <w:t xml:space="preserve">finding outlier cells, the bars optimise for reading the within-topic</w:t>
      </w:r>
      <w:r>
        <w:t xml:space="preserve"> </w:t>
      </w:r>
      <w:r>
        <w:t xml:space="preserve">distribution shape. Both ship.</w:t>
      </w:r>
    </w:p>
    <w:bookmarkEnd w:id="19"/>
    <w:bookmarkStart w:id="24" w:name="topic-class-sankey-alluvial-flow"/>
    <w:p>
      <w:pPr>
        <w:pStyle w:val="Heading1"/>
      </w:pPr>
      <w:r>
        <w:t xml:space="preserve">Topic → class Sankey / alluvial flow</w:t>
      </w:r>
    </w:p>
    <w:bookmarkStart w:id="23" w:name="fig:tc-sankey"/>
    <w:p>
      <w:pPr>
        <w:pStyle w:val="CaptionedFigure"/>
      </w:pPr>
      <w:r>
        <w:drawing>
          <wp:inline>
            <wp:extent cx="5334000" cy="302558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opic-class-sankey.pdf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 → class Sankey/alluvial flow on Salinas-A (left) and</w:t>
      </w:r>
      <w:r>
        <w:t xml:space="preserve"> </w:t>
      </w:r>
      <w:r>
        <w:t xml:space="preserve">Botswana (right). Left axis nodes = topics; right axis nodes =</w:t>
      </w:r>
      <w:r>
        <w:t xml:space="preserve"> </w:t>
      </w:r>
      <w:r>
        <w:t xml:space="preserve">classes; ribbon width = pixel count. Salinas-A (K=6, L=6,</w:t>
      </w:r>
      <w:r>
        <w:t xml:space="preserve"> </w:t>
      </w:r>
      <w:r>
        <w:t xml:space="preserve">band-robust) shows clean alignment with thin cross-flow. Botswana</w:t>
      </w:r>
      <w:r>
        <w:t xml:space="preserve"> </w:t>
      </w:r>
      <w:r>
        <w:t xml:space="preserve">(K=12, L=14, band-fragile) shows the diffuse coupling that the</w:t>
      </w:r>
      <w:r>
        <w:t xml:space="preserve"> </w:t>
      </w:r>
      <w:r>
        <w:t xml:space="preserve">F-5 paired ARI</w:t>
      </w:r>
      <w:r>
        <w:t xml:space="preserve"> </w:t>
      </w:r>
      <m:oMath>
        <m:r>
          <m:rPr>
            <m:sty m:val="p"/>
          </m:rPr>
          <m:t>≈</m:t>
        </m:r>
        <m:r>
          <m:t> </m:t>
        </m:r>
        <m:r>
          <m:t>0.01</m:t>
        </m:r>
      </m:oMath>
      <w:r>
        <w:t xml:space="preserve"> </w:t>
      </w:r>
      <w:r>
        <w:t xml:space="preserve">predicts.</w:t>
      </w:r>
    </w:p>
    <w:bookmarkEnd w:id="23"/>
    <w:p>
      <w:pPr>
        <w:pStyle w:val="BodyText"/>
      </w:pPr>
      <w:r>
        <w:t xml:space="preserve">References: Sankey diagram tradition; Data-to-Viz Sankey-vs-alluvial</w:t>
      </w:r>
      <w:r>
        <w:t xml:space="preserve"> </w:t>
      </w:r>
      <w:r>
        <w:t xml:space="preserve">distinction </w:t>
      </w:r>
      <w:r>
        <w:t xml:space="preserve">(Data-to-Viz 2024)</w:t>
      </w:r>
      <w:r>
        <w:t xml:space="preserve">; modern</w:t>
      </w:r>
      <w:r>
        <w:t xml:space="preserve"> </w:t>
      </w:r>
      <w:r>
        <w:rPr>
          <w:rStyle w:val="VerbatimChar"/>
        </w:rPr>
        <w:t xml:space="preserve">d3-sankey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ggsankeyfier</w:t>
      </w:r>
      <w:r>
        <w:t xml:space="preserve"> </w:t>
      </w:r>
      <w:r>
        <w:t xml:space="preserve">implementations.</w:t>
      </w:r>
    </w:p>
    <w:bookmarkEnd w:id="24"/>
    <w:bookmarkStart w:id="29" w:name="X81b2717e5ced549ae0ef9a69afc22fcb5f72bc6"/>
    <w:p>
      <w:pPr>
        <w:pStyle w:val="Heading1"/>
      </w:pPr>
      <m:oMath>
        <m:r>
          <m:t>θ</m:t>
        </m:r>
      </m:oMath>
      <w:r>
        <w:t xml:space="preserve">-PCA scatter coloured by topic / by label</w:t>
      </w:r>
    </w:p>
    <w:bookmarkStart w:id="28" w:name="fig:theta-scatter"/>
    <w:p>
      <w:pPr>
        <w:pStyle w:val="CaptionedFigure"/>
      </w:pPr>
      <w:r>
        <w:drawing>
          <wp:inline>
            <wp:extent cx="5334000" cy="314981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theta-embedding-scatter.pdf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9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PCA-2D embedding of the per-document topic posterior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on three scenes: top row coloured by dominant topic,</w:t>
      </w:r>
      <w:r>
        <w:t xml:space="preserve"> </w:t>
      </w:r>
      <w:r>
        <w:t xml:space="preserve">bottom row coloured by ground-truth label with 2-</w:t>
      </w:r>
      <m:oMath>
        <m:r>
          <m:t>σ</m:t>
        </m:r>
      </m:oMath>
      <w:r>
        <w:t xml:space="preserve"> </w:t>
      </w:r>
      <w:r>
        <w:t xml:space="preserve">Gaussian</w:t>
      </w:r>
      <w:r>
        <w:t xml:space="preserve"> </w:t>
      </w:r>
      <w:r>
        <w:t xml:space="preserve">confidence ellipses per class. Salinas-A (band-robust): topic and</w:t>
      </w:r>
      <w:r>
        <w:t xml:space="preserve"> </w:t>
      </w:r>
      <w:r>
        <w:t xml:space="preserve">label clusters align tightly. Indian Pines (partial): topic clusters</w:t>
      </w:r>
      <w:r>
        <w:t xml:space="preserve"> </w:t>
      </w:r>
      <w:r>
        <w:t xml:space="preserve">visible but ellipses overlap. Botswana (band-fragile): topic</w:t>
      </w:r>
      <w:r>
        <w:t xml:space="preserve"> </w:t>
      </w:r>
      <w:r>
        <w:t xml:space="preserve">clusters are visible but ground-truth-label ellipses span the</w:t>
      </w:r>
      <w:r>
        <w:t xml:space="preserve"> </w:t>
      </w:r>
      <w:r>
        <w:t xml:space="preserve">whole embedding, exposing the topic–label decoupling.</w:t>
      </w:r>
    </w:p>
    <w:bookmarkEnd w:id="28"/>
    <w:p>
      <w:pPr>
        <w:pStyle w:val="BodyText"/>
      </w:pPr>
      <w:r>
        <w:t xml:space="preserve">Two-row design follows the</w:t>
      </w:r>
      <w:r>
        <w:t xml:space="preserve"> </w:t>
      </w:r>
      <w:r>
        <w:rPr>
          <w:rStyle w:val="VerbatimChar"/>
        </w:rPr>
        <w:t xml:space="preserve">corner.py</w:t>
      </w:r>
      <w:r>
        <w:t xml:space="preserve"> </w:t>
      </w:r>
      <w:r>
        <w:t xml:space="preserve">scatterplot-matrix</w:t>
      </w:r>
      <w:r>
        <w:t xml:space="preserve"> </w:t>
      </w:r>
      <w:r>
        <w:t xml:space="preserve">convention of Foreman-Mackey </w:t>
      </w:r>
      <w:r>
        <w:t xml:space="preserve">(Foreman-Mackey 2016)</w:t>
      </w:r>
      <w:r>
        <w:t xml:space="preserve">;</w:t>
      </w:r>
      <w:r>
        <w:t xml:space="preserve"> </w:t>
      </w:r>
      <m:oMath>
        <m:r>
          <m:t>2</m:t>
        </m:r>
        <m:r>
          <m:t>σ</m:t>
        </m:r>
      </m:oMath>
      <w:r>
        <w:t xml:space="preserve"> </w:t>
      </w:r>
      <w:r>
        <w:t xml:space="preserve">ellipses computed via the standard</w:t>
      </w:r>
      <w:r>
        <w:t xml:space="preserve"> </w:t>
      </w:r>
      <w:r>
        <w:t xml:space="preserve">matplotlib gallery</w:t>
      </w:r>
      <w:r>
        <w:t xml:space="preserve"> </w:t>
      </w:r>
      <w:r>
        <w:t xml:space="preserve">recipe </w:t>
      </w:r>
      <w:r>
        <w:t xml:space="preserve">(Matplotlib Developers 2024)</w:t>
      </w:r>
      <w:r>
        <w:t xml:space="preserve">.</w:t>
      </w:r>
    </w:p>
    <w:bookmarkEnd w:id="29"/>
    <w:bookmarkStart w:id="34" w:name="per-topic-confidence-ridge"/>
    <w:p>
      <w:pPr>
        <w:pStyle w:val="Heading1"/>
      </w:pPr>
      <w:r>
        <w:t xml:space="preserve">Per-topic confidence ridge</w:t>
      </w:r>
    </w:p>
    <w:bookmarkStart w:id="33" w:name="fig:conf-ridge"/>
    <w:p>
      <w:pPr>
        <w:pStyle w:val="CaptionedFigure"/>
      </w:pPr>
      <w:r>
        <w:drawing>
          <wp:inline>
            <wp:extent cx="5334000" cy="248613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onfidence-ridge.pdf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Per-topic KDE of the per-document confidence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θ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over documents with dominant topic</w:t>
      </w:r>
      <w:r>
        <w:t xml:space="preserve"> </w:t>
      </w:r>
      <m:oMath>
        <m:r>
          <m:t>k</m:t>
        </m:r>
      </m:oMath>
      <w:r>
        <w:t xml:space="preserve">. Each</w:t>
      </w:r>
      <w:r>
        <w:t xml:space="preserve"> </w:t>
      </w:r>
      <w:r>
        <w:t xml:space="preserve">topic gets one ridge curve on a shared</w:t>
      </w:r>
      <w:r>
        <w:t xml:space="preserve"> </w:t>
      </w:r>
      <m:oMath>
        <m:r>
          <m:t>x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; vertical</w:t>
      </w:r>
      <w:r>
        <w:t xml:space="preserve"> </w:t>
      </w:r>
      <w:r>
        <w:t xml:space="preserve">dashed line at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= uniform-</w:t>
      </w:r>
      <m:oMath>
        <m:r>
          <m:t>θ</m:t>
        </m:r>
      </m:oMath>
      <w:r>
        <w:t xml:space="preserve"> </w:t>
      </w:r>
      <w:r>
        <w:t xml:space="preserve">baseline. Right-shifted</w:t>
      </w:r>
      <w:r>
        <w:t xml:space="preserve"> </w:t>
      </w:r>
      <w:r>
        <w:t xml:space="preserve">curves = sharp topics; left-shifted = diffuse / collapsed topics.</w:t>
      </w:r>
    </w:p>
    <w:bookmarkEnd w:id="33"/>
    <w:p>
      <w:pPr>
        <w:pStyle w:val="BodyText"/>
      </w:pPr>
      <w:r>
        <w:t xml:space="preserve">The ridge plot is the appropriate idiom for</w:t>
      </w:r>
      <w:r>
        <w:t xml:space="preserve"> </w:t>
      </w:r>
      <w:r>
        <w:t xml:space="preserve">“one continuous</w:t>
      </w:r>
      <w:r>
        <w:t xml:space="preserve"> </w:t>
      </w:r>
      <w:r>
        <w:t xml:space="preserve">distribution per category”</w:t>
      </w:r>
      <w:r>
        <w:t xml:space="preserve">. We follow Wilke’s</w:t>
      </w:r>
      <w:r>
        <w:t xml:space="preserve"> </w:t>
      </w:r>
      <w:r>
        <w:rPr>
          <w:rStyle w:val="VerbatimChar"/>
        </w:rPr>
        <w:t xml:space="preserve">ggridges</w:t>
      </w:r>
      <w:r>
        <w:t xml:space="preserve"> </w:t>
      </w:r>
      <w:r>
        <w:t xml:space="preserve">naming </w:t>
      </w:r>
      <w:r>
        <w:t xml:space="preserve">(Wilke 2017)</w:t>
      </w:r>
      <w:r>
        <w:t xml:space="preserve">; the precursor violin-plot family</w:t>
      </w:r>
      <w:r>
        <w:t xml:space="preserve"> </w:t>
      </w:r>
      <w:r>
        <w:t xml:space="preserve">is Hintze and Nelson </w:t>
      </w:r>
      <w:r>
        <w:t xml:space="preserve">(Hintze and Nelson 1998)</w:t>
      </w:r>
      <w:r>
        <w:t xml:space="preserve">.</w:t>
      </w:r>
    </w:p>
    <w:bookmarkEnd w:id="34"/>
    <w:bookmarkStart w:id="39" w:name="hidsag-topic-covariate-tag"/>
    <w:p>
      <w:pPr>
        <w:pStyle w:val="Heading1"/>
      </w:pPr>
      <w:r>
        <w:t xml:space="preserve">HIDSAG: topic × covariate tag</w:t>
      </w:r>
    </w:p>
    <w:bookmarkStart w:id="38" w:name="fig:hidsag-cov"/>
    <w:p>
      <w:pPr>
        <w:pStyle w:val="CaptionedFigure"/>
      </w:pPr>
      <w:r>
        <w:drawing>
          <wp:inline>
            <wp:extent cx="5334000" cy="155979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hidsag-topic-covariate.pdf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9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HIDSAG </w:t>
      </w:r>
      <w:r>
        <w:t xml:space="preserve">(Ehrenfeld et al. 2023; Ehrenfeld 2023)</w:t>
      </w:r>
      <w:r>
        <w:t xml:space="preserve"> </w:t>
      </w:r>
      <w:r>
        <w:t xml:space="preserve">topic ×</w:t>
      </w:r>
      <w:r>
        <w:t xml:space="preserve"> </w:t>
      </w:r>
      <w:r>
        <w:t xml:space="preserve">covariate-tag heatmap on three subsets with non-degenerate</w:t>
      </w:r>
      <w:r>
        <w:t xml:space="preserve"> </w:t>
      </w:r>
      <w:r>
        <w:t xml:space="preserve">covariates (MINERAL1 with P1/P2/P3; GEOCHEM and PORPHYRY with</w:t>
      </w:r>
      <w:r>
        <w:t xml:space="preserve"> </w:t>
      </w:r>
      <w:r>
        <w:t xml:space="preserve">coarse/fine). Cell =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tag</m:t>
        </m:r>
        <m:r>
          <m:rPr>
            <m:sty m:val="p"/>
          </m:rPr>
          <m:t>∣</m:t>
        </m:r>
        <m:r>
          <m:rPr>
            <m:nor/>
            <m:sty m:val="p"/>
          </m:rPr>
          <m:t>dominant topic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GEOMET and MINERAL2 are omitted because their available covariates</w:t>
      </w:r>
      <w:r>
        <w:t xml:space="preserve"> </w:t>
      </w:r>
      <w:r>
        <w:t xml:space="preserve">collapse to a single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value at the band-mask</w:t>
      </w:r>
      <w:r>
        <w:t xml:space="preserve"> </w:t>
      </w:r>
      <w:r>
        <w:t xml:space="preserve">builder’s granularity (fall-back behaviour).</w:t>
      </w:r>
    </w:p>
    <w:bookmarkEnd w:id="38"/>
    <w:p>
      <w:pPr>
        <w:pStyle w:val="BodyText"/>
      </w:pPr>
      <w:r>
        <w:t xml:space="preserve">The continuous mineralogical measurements (Cu rec, Lime cons,</w:t>
      </w:r>
      <w:r>
        <w:t xml:space="preserve"> </w:t>
      </w:r>
      <w:r>
        <w:t xml:space="preserve">mineral abundances per subset) live in the raw HDF5 source files of</w:t>
      </w:r>
      <w:r>
        <w:t xml:space="preserve"> </w:t>
      </w:r>
      <w:r>
        <w:t xml:space="preserve">the figshare collection </w:t>
      </w:r>
      <w:r>
        <w:t xml:space="preserve">(Ehrenfeld 2023)</w:t>
      </w:r>
      <w:r>
        <w:t xml:space="preserve"> </w:t>
      </w:r>
      <w:r>
        <w:t xml:space="preserve">rather than in the</w:t>
      </w:r>
      <w:r>
        <w:t xml:space="preserve"> </w:t>
      </w:r>
      <w:r>
        <w:t xml:space="preserve">derived JSON exposed by our companion code repository. A future</w:t>
      </w:r>
      <w:r>
        <w:t xml:space="preserve"> </w:t>
      </w:r>
      <w:r>
        <w:t xml:space="preserve">extension could plug those into the same topic–covariate frame</w:t>
      </w:r>
      <w:r>
        <w:t xml:space="preserve"> </w:t>
      </w:r>
      <w:r>
        <w:t xml:space="preserve">using ridge plots per topic on the continuous variable, following</w:t>
      </w:r>
      <w:r>
        <w:t xml:space="preserve"> </w:t>
      </w:r>
      <w:r>
        <w:t xml:space="preserve">the same idiom as Figure </w:t>
      </w:r>
      <w:hyperlink w:anchor="fig:conf-ridge">
        <w:r>
          <w:rPr>
            <w:rStyle w:val="Hyperlink"/>
          </w:rPr>
          <w:t xml:space="preserve">5</w:t>
        </w:r>
      </w:hyperlink>
      <w:r>
        <w:t xml:space="preserve">.</w:t>
      </w:r>
    </w:p>
    <w:bookmarkEnd w:id="39"/>
    <w:bookmarkStart w:id="52" w:name="Xfed9224b9b41ccfd72a4ef6935472453aace94e"/>
    <w:p>
      <w:pPr>
        <w:pStyle w:val="Heading1"/>
      </w:pPr>
      <w:r>
        <w:t xml:space="preserve">HIDSAG continuous-measurement ridges, corner plot, mosaic</w:t>
      </w:r>
    </w:p>
    <w:p>
      <w:pPr>
        <w:pStyle w:val="FirstParagraph"/>
      </w:pPr>
      <w:r>
        <w:t xml:space="preserve">After the initial release of this supplement, the HIDSAG continuous</w:t>
      </w:r>
      <w:r>
        <w:t xml:space="preserve"> </w:t>
      </w:r>
      <w:r>
        <w:t xml:space="preserve">mineralogical / geometallurgical measurements were extracted from</w:t>
      </w:r>
      <w:r>
        <w:t xml:space="preserve"> </w:t>
      </w:r>
      <w:r>
        <w:t xml:space="preserve">the per-sample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 </w:t>
      </w:r>
      <w:r>
        <w:t xml:space="preserve">files in the figshare</w:t>
      </w:r>
      <w:r>
        <w:t xml:space="preserve"> </w:t>
      </w:r>
      <w:r>
        <w:t xml:space="preserve">collection </w:t>
      </w:r>
      <w:r>
        <w:t xml:space="preserve">(Ehrenfeld 2023)</w:t>
      </w:r>
      <w:r>
        <w:t xml:space="preserve"> </w:t>
      </w:r>
      <w:r>
        <w:t xml:space="preserve">(closing issue</w:t>
      </w:r>
      <w:r>
        <w:t xml:space="preserve"> </w:t>
      </w:r>
      <w:r>
        <w:rPr>
          <w:rStyle w:val="VerbatimChar"/>
        </w:rPr>
        <w:t xml:space="preserve">CAOS_LDA_HSI_Paper#2</w:t>
      </w:r>
      <w:r>
        <w:t xml:space="preserve">). A new derived layer at</w:t>
      </w:r>
      <w:r>
        <w:t xml:space="preserve"> </w:t>
      </w:r>
      <w:r>
        <w:rPr>
          <w:rStyle w:val="VerbatimChar"/>
        </w:rPr>
        <w:t xml:space="preserve">data/derived/hidsag_topic_measurements/&lt;subset&gt;.json</w:t>
      </w:r>
      <w:r>
        <w:t xml:space="preserve"> </w:t>
      </w:r>
      <w:r>
        <w:t xml:space="preserve">joins the per-document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matrix with the assay values; 427</w:t>
      </w:r>
      <w:r>
        <w:t xml:space="preserve"> </w:t>
      </w:r>
      <w:r>
        <w:t xml:space="preserve">records across the five subsets with 5–33 continuous variables per</w:t>
      </w:r>
      <w:r>
        <w:t xml:space="preserve"> </w:t>
      </w:r>
      <w:r>
        <w:t xml:space="preserve">subset.</w:t>
      </w:r>
    </w:p>
    <w:bookmarkStart w:id="43" w:name="fig:hidsag-ridges"/>
    <w:p>
      <w:pPr>
        <w:pStyle w:val="CaptionedFigure"/>
      </w:pPr>
      <w:r>
        <w:drawing>
          <wp:inline>
            <wp:extent cx="5334000" cy="297132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hidsag-measurement-ridges.pdf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HIDSAG topic-conditional continuous-measurement ridges per</w:t>
      </w:r>
      <w:r>
        <w:t xml:space="preserve"> </w:t>
      </w:r>
      <w:r>
        <w:t xml:space="preserve">subset. For each subset the variable with the largest normalised</w:t>
      </w:r>
      <w:r>
        <w:t xml:space="preserve"> </w:t>
      </w:r>
      <w:r>
        <w:t xml:space="preserve">per-topic-mean range is selected; one KDE ridge per dominant topic</w:t>
      </w:r>
      <w:r>
        <w:t xml:space="preserve"> </w:t>
      </w:r>
      <w:r>
        <w:t xml:space="preserve">on a shared</w:t>
      </w:r>
      <w:r>
        <w:t xml:space="preserve"> </w:t>
      </w:r>
      <m:oMath>
        <m:r>
          <m:t>x</m:t>
        </m:r>
      </m:oMath>
      <w:r>
        <w:t xml:space="preserve">-axis (the variable). Per-row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mean annotated.</w:t>
      </w:r>
      <w:r>
        <w:t xml:space="preserve"> </w:t>
      </w:r>
      <w:r>
        <w:t xml:space="preserve">Rug marks at the actual observations. The most striking ridge is</w:t>
      </w:r>
      <w:r>
        <w:t xml:space="preserve"> </w:t>
      </w:r>
      <w:r>
        <w:rPr>
          <w:i/>
          <w:iCs/>
        </w:rPr>
        <w:t xml:space="preserve">PORPHYRY % biotite</w:t>
      </w:r>
      <w:r>
        <w:t xml:space="preserve">: per-topic means range</w:t>
      </w:r>
      <w:r>
        <w:t xml:space="preserve"> </w:t>
      </w:r>
      <m:oMath>
        <m:r>
          <m:t>1.1</m:t>
        </m:r>
        <m:r>
          <m:rPr>
            <m:sty m:val="p"/>
          </m:rPr>
          <m:t>→</m:t>
        </m:r>
        <m:r>
          <m:t>39.6</m:t>
        </m:r>
      </m:oMath>
      <w:r>
        <w:t xml:space="preserve">,</w:t>
      </w:r>
      <w:r>
        <w:t xml:space="preserve"> </w:t>
      </w:r>
      <w:r>
        <w:t xml:space="preserve">indicating that the canonical-fit topic basis on PORPHYRY captures</w:t>
      </w:r>
      <w:r>
        <w:t xml:space="preserve"> </w:t>
      </w:r>
      <w:r>
        <w:t xml:space="preserve">the porphyry-alteration mineralogy at a high level of fidelity.</w:t>
      </w:r>
    </w:p>
    <w:bookmarkEnd w:id="43"/>
    <w:bookmarkStart w:id="47" w:name="fig:hidsag-corner"/>
    <w:p>
      <w:pPr>
        <w:pStyle w:val="CaptionedFigure"/>
      </w:pPr>
      <w:r>
        <w:drawing>
          <wp:inline>
            <wp:extent cx="5334000" cy="474387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hidsag-corner-geomet.pdf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3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GEOMET corner-plot matrix coloured by dominant topic</w:t>
      </w:r>
      <w:r>
        <w:t xml:space="preserve"> </w:t>
      </w:r>
      <w:r>
        <w:t xml:space="preserve">(K </w:t>
      </w:r>
      <m:oMath>
        <m:r>
          <m:rPr>
            <m:sty m:val="p"/>
          </m:rPr>
          <m:t>=</m:t>
        </m:r>
        <m:r>
          <m:t> </m:t>
        </m:r>
        <m:r>
          <m:t>6</m:t>
        </m:r>
      </m:oMath>
      <w:r>
        <w:t xml:space="preserve">). Diagonal: per-variable KDE per topic. Lower triangle:</w:t>
      </w:r>
      <w:r>
        <w:t xml:space="preserve"> </w:t>
      </w:r>
      <w:r>
        <w:t xml:space="preserve">scatter of variable pairs coloured by topic with 2-</w:t>
      </w:r>
      <m:oMath>
        <m:r>
          <m:t>σ</m:t>
        </m:r>
      </m:oMath>
      <w:r>
        <w:t xml:space="preserve"> </w:t>
      </w:r>
      <w:r>
        <w:t xml:space="preserve">Gaussian confidence ellipses per topic. Idiom from</w:t>
      </w:r>
      <w:r>
        <w:t xml:space="preserve"> </w:t>
      </w:r>
      <w:r>
        <w:t xml:space="preserve">Foreman-Mackey </w:t>
      </w:r>
      <w:r>
        <w:t xml:space="preserve">(Foreman-Mackey 2016)</w:t>
      </w:r>
      <w:r>
        <w:t xml:space="preserve">; ellipses via the</w:t>
      </w:r>
      <w:r>
        <w:t xml:space="preserve"> </w:t>
      </w:r>
      <w:r>
        <w:t xml:space="preserve">canonical matplotlib gallery</w:t>
      </w:r>
      <w:r>
        <w:t xml:space="preserve"> </w:t>
      </w:r>
      <w:r>
        <w:t xml:space="preserve">recipe </w:t>
      </w:r>
      <w:r>
        <w:t xml:space="preserve">(Matplotlib Developers 2024)</w:t>
      </w:r>
      <w:r>
        <w:t xml:space="preserve">.</w:t>
      </w:r>
    </w:p>
    <w:bookmarkEnd w:id="47"/>
    <w:bookmarkStart w:id="51" w:name="fig:hidsag-mosaic"/>
    <w:p>
      <w:pPr>
        <w:pStyle w:val="CaptionedFigure"/>
      </w:pPr>
      <w:r>
        <w:drawing>
          <wp:inline>
            <wp:extent cx="5334000" cy="183148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hidsag-measurement-mosaic.pdf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1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HIDSAG mosaic / fluctuation heatmap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quartile</m:t>
        </m:r>
        <m:r>
          <m:rPr>
            <m:sty m:val="p"/>
          </m:rPr>
          <m:t>∣</m:t>
        </m:r>
        <m:r>
          <m:rPr>
            <m:nor/>
            <m:sty m:val="p"/>
          </m:rPr>
          <m:t>dominant topic</m:t>
        </m:r>
        <m:r>
          <m:rPr>
            <m:sty m:val="p"/>
          </m:rPr>
          <m:t>)</m:t>
        </m:r>
      </m:oMath>
      <w:r>
        <w:t xml:space="preserve"> </w:t>
      </w:r>
      <w:r>
        <w:t xml:space="preserve">on three subsets and the variable picked per</w:t>
      </w:r>
      <w:r>
        <w:t xml:space="preserve"> </w:t>
      </w:r>
      <w:r>
        <w:t xml:space="preserve">subset (PORPHYRY: % biotite; GEOMET: Cu recovery; MINERAL1:</w:t>
      </w:r>
      <w:r>
        <w:t xml:space="preserve"> </w:t>
      </w:r>
      <w:r>
        <w:t xml:space="preserve">albite). Bins are scene-wide quartiles; rows normalised. Captures</w:t>
      </w:r>
      <w:r>
        <w:t xml:space="preserve"> </w:t>
      </w:r>
      <w:r>
        <w:t xml:space="preserve">non-monotone topic-vs-quartile patterns that the smooth ridge KDE</w:t>
      </w:r>
      <w:r>
        <w:t xml:space="preserve"> </w:t>
      </w:r>
      <w:r>
        <w:t xml:space="preserve">can hide. Idiom: Hofmann </w:t>
      </w:r>
      <w:r>
        <w:t xml:space="preserve">(Hofmann 2008)</w:t>
      </w:r>
      <w:r>
        <w:t xml:space="preserve">;</w:t>
      </w:r>
      <w:r>
        <w:t xml:space="preserve"> </w:t>
      </w:r>
      <w:r>
        <w:t xml:space="preserve">Friendly </w:t>
      </w:r>
      <w:r>
        <w:t xml:space="preserve">(Friendly 1994)</w:t>
      </w:r>
      <w:r>
        <w:t xml:space="preserve">.</w:t>
      </w:r>
    </w:p>
    <w:bookmarkEnd w:id="51"/>
    <w:bookmarkEnd w:id="52"/>
    <w:bookmarkStart w:id="72" w:name="why-these-nine-figures"/>
    <w:p>
      <w:pPr>
        <w:pStyle w:val="Heading1"/>
      </w:pPr>
      <w:r>
        <w:t xml:space="preserve">Why these nine figures</w:t>
      </w:r>
    </w:p>
    <w:p>
      <w:pPr>
        <w:pStyle w:val="FirstParagraph"/>
      </w:pPr>
      <w:r>
        <w:t xml:space="preserve">The nine figures answer nine distinct cognitive questions about the</w:t>
      </w:r>
      <w:r>
        <w:t xml:space="preserve"> </w:t>
      </w:r>
      <w:r>
        <w:t xml:space="preserve">topic–label and topic–measurement relationships:</w:t>
      </w:r>
    </w:p>
    <w:p>
      <w:pPr>
        <w:numPr>
          <w:ilvl w:val="0"/>
          <w:numId w:val="1001"/>
        </w:numPr>
      </w:pPr>
      <w:r>
        <w:t xml:space="preserve">Heatmap (Fig. </w:t>
      </w:r>
      <w:hyperlink w:anchor="fig:tc-heatmap">
        <w:r>
          <w:rPr>
            <w:rStyle w:val="Hyperlink"/>
          </w:rPr>
          <w:t xml:space="preserve">1</w:t>
        </w:r>
      </w:hyperlink>
      <w:r>
        <w:t xml:space="preserve">) —</w:t>
      </w:r>
      <w:r>
        <w:t xml:space="preserve"> </w:t>
      </w:r>
      <w:r>
        <w:t xml:space="preserve">“which topic–class</w:t>
      </w:r>
      <w:r>
        <w:t xml:space="preserve"> </w:t>
      </w:r>
      <w:r>
        <w:t xml:space="preserve">cells carry mass?”</w:t>
      </w:r>
    </w:p>
    <w:p>
      <w:pPr>
        <w:numPr>
          <w:ilvl w:val="0"/>
          <w:numId w:val="1001"/>
        </w:numPr>
      </w:pPr>
      <w:r>
        <w:t xml:space="preserve">Per-topic bars (Fig. </w:t>
      </w:r>
      <w:hyperlink w:anchor="fig:tc-bars">
        <w:r>
          <w:rPr>
            <w:rStyle w:val="Hyperlink"/>
          </w:rPr>
          <w:t xml:space="preserve">2</w:t>
        </w:r>
      </w:hyperlink>
      <w:r>
        <w:t xml:space="preserve">) —</w:t>
      </w:r>
      <w:r>
        <w:t xml:space="preserve"> </w:t>
      </w:r>
      <w:r>
        <w:t xml:space="preserve">“what is the</w:t>
      </w:r>
      <w:r>
        <w:t xml:space="preserve"> </w:t>
      </w:r>
      <w:r>
        <w:t xml:space="preserve">within-topic class distribution shape?”</w:t>
      </w:r>
    </w:p>
    <w:p>
      <w:pPr>
        <w:numPr>
          <w:ilvl w:val="0"/>
          <w:numId w:val="1001"/>
        </w:numPr>
      </w:pPr>
      <w:r>
        <w:t xml:space="preserve">Sankey (Fig. </w:t>
      </w:r>
      <w:hyperlink w:anchor="fig:tc-sankey">
        <w:r>
          <w:rPr>
            <w:rStyle w:val="Hyperlink"/>
          </w:rPr>
          <w:t xml:space="preserve">3</w:t>
        </w:r>
      </w:hyperlink>
      <w:r>
        <w:t xml:space="preserve">) —</w:t>
      </w:r>
      <w:r>
        <w:t xml:space="preserve"> </w:t>
      </w:r>
      <w:r>
        <w:t xml:space="preserve">“where does mass flow</w:t>
      </w:r>
      <w:r>
        <w:t xml:space="preserve"> </w:t>
      </w:r>
      <w:r>
        <w:t xml:space="preserve">between topic and class?”</w:t>
      </w:r>
    </w:p>
    <w:p>
      <w:pPr>
        <w:numPr>
          <w:ilvl w:val="0"/>
          <w:numId w:val="1001"/>
        </w:numPr>
      </w:pPr>
      <m:oMath>
        <m:r>
          <m:t>θ</m:t>
        </m:r>
      </m:oMath>
      <w:r>
        <w:t xml:space="preserve"> </w:t>
      </w:r>
      <w:r>
        <w:t xml:space="preserve">scatter (Fig. </w:t>
      </w:r>
      <w:hyperlink w:anchor="fig:theta-scatter">
        <w:r>
          <w:rPr>
            <w:rStyle w:val="Hyperlink"/>
          </w:rPr>
          <w:t xml:space="preserve">4</w:t>
        </w:r>
      </w:hyperlink>
      <w:r>
        <w:t xml:space="preserve">) —</w:t>
      </w:r>
      <w:r>
        <w:t xml:space="preserve"> </w:t>
      </w:r>
      <w:r>
        <w:t xml:space="preserve">“do</w:t>
      </w:r>
      <w:r>
        <w:t xml:space="preserve"> </w:t>
      </w:r>
      <w:r>
        <w:t xml:space="preserve">topics and labels align in the</w:t>
      </w:r>
      <w:r>
        <w:t xml:space="preserve"> </w:t>
      </w:r>
      <m:oMath>
        <m:r>
          <m:t>θ</m:t>
        </m:r>
      </m:oMath>
      <w:r>
        <w:t xml:space="preserve">-PCA manifold?”</w:t>
      </w:r>
    </w:p>
    <w:p>
      <w:pPr>
        <w:numPr>
          <w:ilvl w:val="0"/>
          <w:numId w:val="1001"/>
        </w:numPr>
      </w:pPr>
      <w:r>
        <w:t xml:space="preserve">Confidence ridge (Fig. </w:t>
      </w:r>
      <w:hyperlink w:anchor="fig:conf-ridge">
        <w:r>
          <w:rPr>
            <w:rStyle w:val="Hyperlink"/>
          </w:rPr>
          <w:t xml:space="preserve">5</w:t>
        </w:r>
      </w:hyperlink>
      <w:r>
        <w:t xml:space="preserve">) —</w:t>
      </w:r>
      <w:r>
        <w:t xml:space="preserve"> </w:t>
      </w:r>
      <w:r>
        <w:t xml:space="preserve">“how sharp</w:t>
      </w:r>
      <w:r>
        <w:t xml:space="preserve"> </w:t>
      </w:r>
      <w:r>
        <w:t xml:space="preserve">is each topic’s posterior?”</w:t>
      </w:r>
    </w:p>
    <w:p>
      <w:pPr>
        <w:numPr>
          <w:ilvl w:val="0"/>
          <w:numId w:val="1001"/>
        </w:numPr>
      </w:pPr>
      <w:r>
        <w:t xml:space="preserve">HIDSAG covariate (Fig. </w:t>
      </w:r>
      <w:hyperlink w:anchor="fig:hidsag-cov">
        <w:r>
          <w:rPr>
            <w:rStyle w:val="Hyperlink"/>
          </w:rPr>
          <w:t xml:space="preserve">6</w:t>
        </w:r>
      </w:hyperlink>
      <w:r>
        <w:t xml:space="preserve">) —</w:t>
      </w:r>
      <w:r>
        <w:t xml:space="preserve"> </w:t>
      </w:r>
      <w:r>
        <w:t xml:space="preserve">“do topics</w:t>
      </w:r>
      <w:r>
        <w:t xml:space="preserve"> </w:t>
      </w:r>
      <w:r>
        <w:t xml:space="preserve">carry information about the HIDSAG covariate tags?”</w:t>
      </w:r>
    </w:p>
    <w:p>
      <w:pPr>
        <w:numPr>
          <w:ilvl w:val="0"/>
          <w:numId w:val="1001"/>
        </w:numPr>
      </w:pPr>
      <w:r>
        <w:t xml:space="preserve">HIDSAG ridges (Fig. </w:t>
      </w:r>
      <w:hyperlink w:anchor="fig:hidsag-ridges">
        <w:r>
          <w:rPr>
            <w:rStyle w:val="Hyperlink"/>
          </w:rPr>
          <w:t xml:space="preserve">7</w:t>
        </w:r>
      </w:hyperlink>
      <w:r>
        <w:t xml:space="preserve">) —</w:t>
      </w:r>
      <w:r>
        <w:t xml:space="preserve"> </w:t>
      </w:r>
      <w:r>
        <w:t xml:space="preserve">“does the</w:t>
      </w:r>
      <w:r>
        <w:t xml:space="preserve"> </w:t>
      </w:r>
      <w:r>
        <w:t xml:space="preserve">dominant-topic assignment separate the continuous mineralogical</w:t>
      </w:r>
      <w:r>
        <w:t xml:space="preserve"> </w:t>
      </w:r>
      <w:r>
        <w:t xml:space="preserve">assays?”</w:t>
      </w:r>
    </w:p>
    <w:p>
      <w:pPr>
        <w:numPr>
          <w:ilvl w:val="0"/>
          <w:numId w:val="1001"/>
        </w:numPr>
      </w:pPr>
      <w:r>
        <w:t xml:space="preserve">HIDSAG corner plot (Fig. </w:t>
      </w:r>
      <w:hyperlink w:anchor="fig:hidsag-corner">
        <w:r>
          <w:rPr>
            <w:rStyle w:val="Hyperlink"/>
          </w:rPr>
          <w:t xml:space="preserve">8</w:t>
        </w:r>
      </w:hyperlink>
      <w:r>
        <w:t xml:space="preserve">) —</w:t>
      </w:r>
      <w:r>
        <w:t xml:space="preserve"> </w:t>
      </w:r>
      <w:r>
        <w:t xml:space="preserve">“do</w:t>
      </w:r>
      <w:r>
        <w:t xml:space="preserve"> </w:t>
      </w:r>
      <w:r>
        <w:t xml:space="preserve">topics occupy distinct manifolds in the GEOMET assay space?”</w:t>
      </w:r>
    </w:p>
    <w:p>
      <w:pPr>
        <w:numPr>
          <w:ilvl w:val="0"/>
          <w:numId w:val="1001"/>
        </w:numPr>
      </w:pPr>
      <w:r>
        <w:t xml:space="preserve">HIDSAG mosaic (Fig. </w:t>
      </w:r>
      <w:hyperlink w:anchor="fig:hidsag-mosaic">
        <w:r>
          <w:rPr>
            <w:rStyle w:val="Hyperlink"/>
          </w:rPr>
          <w:t xml:space="preserve">9</w:t>
        </w:r>
      </w:hyperlink>
      <w:r>
        <w:t xml:space="preserve">) —</w:t>
      </w:r>
      <w:r>
        <w:t xml:space="preserve"> </w:t>
      </w:r>
      <w:r>
        <w:t xml:space="preserve">“does the</w:t>
      </w:r>
      <w:r>
        <w:t xml:space="preserve"> </w:t>
      </w:r>
      <w:r>
        <w:t xml:space="preserve">topic membership stochastically order each continuous variable?”</w:t>
      </w:r>
    </w:p>
    <w:p>
      <w:pPr>
        <w:pStyle w:val="FirstParagraph"/>
      </w:pPr>
      <w:r>
        <w:t xml:space="preserve">Each chosen idiom dominates its question on the cognitive-ergonomic</w:t>
      </w:r>
      <w:r>
        <w:t xml:space="preserve"> </w:t>
      </w:r>
      <w:r>
        <w:t xml:space="preserve">trade-off between density (information per pixel) and decoding</w:t>
      </w:r>
      <w:r>
        <w:t xml:space="preserve"> </w:t>
      </w:r>
      <w:r>
        <w:t xml:space="preserve">effort (steps the reader must take to extract a claim). See the</w:t>
      </w:r>
      <w:r>
        <w:t xml:space="preserve"> </w:t>
      </w:r>
      <w:r>
        <w:t xml:space="preserve">research note in the repository</w:t>
      </w:r>
      <w:r>
        <w:t xml:space="preserve"> </w:t>
      </w:r>
      <w:r>
        <w:rPr>
          <w:rStyle w:val="VerbatimChar"/>
        </w:rPr>
        <w:t xml:space="preserve">supplementary/journal/research-notes/topic-relational-viz.md</w:t>
      </w:r>
      <w:r>
        <w:t xml:space="preserve"> </w:t>
      </w:r>
      <w:r>
        <w:t xml:space="preserve">for the full literature survey that informed the selection.</w:t>
      </w:r>
    </w:p>
    <w:bookmarkStart w:id="71" w:name="refs"/>
    <w:bookmarkStart w:id="54" w:name="ref-datatovizSankey"/>
    <w:p>
      <w:pPr>
        <w:pStyle w:val="Bibliography"/>
      </w:pPr>
      <w:r>
        <w:t xml:space="preserve">Data-to-Viz. 2024.</w:t>
      </w:r>
      <w:r>
        <w:t xml:space="preserve"> </w:t>
      </w:r>
      <w:r>
        <w:rPr>
          <w:i/>
          <w:iCs/>
        </w:rPr>
        <w:t xml:space="preserve">The Sankey Diagram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Https://www.data-to-viz.com/graph/sankey.html</w:t>
        </w:r>
      </w:hyperlink>
      <w:r>
        <w:t xml:space="preserve">.</w:t>
      </w:r>
    </w:p>
    <w:bookmarkEnd w:id="54"/>
    <w:bookmarkStart w:id="56" w:name="ref-hidsag2023figshare"/>
    <w:p>
      <w:pPr>
        <w:pStyle w:val="Bibliography"/>
      </w:pPr>
      <w:r>
        <w:t xml:space="preserve">Ehrenfeld, Alejandro. 2023.</w:t>
      </w:r>
      <w:r>
        <w:t xml:space="preserve"> </w:t>
      </w:r>
      <w:r>
        <w:rPr>
          <w:i/>
          <w:iCs/>
        </w:rPr>
        <w:t xml:space="preserve">HIDSAG</w:t>
      </w:r>
      <w:r>
        <w:rPr>
          <w:i/>
          <w:iCs/>
        </w:rPr>
        <w:t xml:space="preserve">: Hyperspectral Image Database for Supervised Analysis in Geometallurgy</w:t>
      </w:r>
      <w:r>
        <w:t xml:space="preserve">. Figshare Collection,</w:t>
      </w:r>
      <w:r>
        <w:t xml:space="preserve"> </w:t>
      </w:r>
      <w:hyperlink r:id="rId55">
        <w:r>
          <w:rPr>
            <w:rStyle w:val="Hyperlink"/>
          </w:rPr>
          <w:t xml:space="preserve">https://doi.org/10.6084/m9.figshare.c.5983921.v1</w:t>
        </w:r>
      </w:hyperlink>
      <w:r>
        <w:t xml:space="preserve">; figshare.</w:t>
      </w:r>
      <w:r>
        <w:t xml:space="preserve"> </w:t>
      </w:r>
      <w:hyperlink r:id="rId55">
        <w:r>
          <w:rPr>
            <w:rStyle w:val="Hyperlink"/>
          </w:rPr>
          <w:t xml:space="preserve">https://doi.org/10.6084/m9.figshare.c.5983921.v1</w:t>
        </w:r>
      </w:hyperlink>
      <w:r>
        <w:t xml:space="preserve">.</w:t>
      </w:r>
    </w:p>
    <w:bookmarkEnd w:id="56"/>
    <w:bookmarkStart w:id="58" w:name="ref-hidsag2023"/>
    <w:p>
      <w:pPr>
        <w:pStyle w:val="Bibliography"/>
      </w:pPr>
      <w:r>
        <w:t xml:space="preserve">Ehrenfeld, Alejandro, Álvaro F. Egaña, Felipe Santibañez-Leal, et al. 2023.</w:t>
      </w:r>
      <w:r>
        <w:t xml:space="preserve"> </w:t>
      </w:r>
      <w:r>
        <w:t xml:space="preserve">“</w:t>
      </w:r>
      <w:r>
        <w:t xml:space="preserve">HIDSAG</w:t>
      </w:r>
      <w:r>
        <w:t xml:space="preserve">: Hyperspectral Image Database for Supervised Analysis in Geometallurgy.”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10 (1): 164.</w:t>
      </w:r>
      <w:r>
        <w:t xml:space="preserve"> </w:t>
      </w:r>
      <w:hyperlink r:id="rId57">
        <w:r>
          <w:rPr>
            <w:rStyle w:val="Hyperlink"/>
          </w:rPr>
          <w:t xml:space="preserve">https://doi.org/10.1038/s41597-023-02061-x</w:t>
        </w:r>
      </w:hyperlink>
      <w:r>
        <w:t xml:space="preserve">.</w:t>
      </w:r>
    </w:p>
    <w:bookmarkEnd w:id="58"/>
    <w:bookmarkStart w:id="60" w:name="ref-foremanmackey2016corner"/>
    <w:p>
      <w:pPr>
        <w:pStyle w:val="Bibliography"/>
      </w:pPr>
      <w:r>
        <w:t xml:space="preserve">Foreman-Mackey, Daniel. 2016.</w:t>
      </w:r>
      <w:r>
        <w:t xml:space="preserve"> </w:t>
      </w:r>
      <w:r>
        <w:t xml:space="preserve">“Corner.py: Scatterplot Matrices in</w:t>
      </w:r>
      <w:r>
        <w:t xml:space="preserve"> </w:t>
      </w:r>
      <w:r>
        <w:t xml:space="preserve">Python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1 (2): 24.</w:t>
      </w:r>
      <w:r>
        <w:t xml:space="preserve"> </w:t>
      </w:r>
      <w:hyperlink r:id="rId59">
        <w:r>
          <w:rPr>
            <w:rStyle w:val="Hyperlink"/>
          </w:rPr>
          <w:t xml:space="preserve">https://doi.org/10.21105/joss.00024</w:t>
        </w:r>
      </w:hyperlink>
      <w:r>
        <w:t xml:space="preserve">.</w:t>
      </w:r>
    </w:p>
    <w:bookmarkEnd w:id="60"/>
    <w:bookmarkStart w:id="62" w:name="ref-friendly1994mosaic"/>
    <w:p>
      <w:pPr>
        <w:pStyle w:val="Bibliography"/>
      </w:pPr>
      <w:r>
        <w:t xml:space="preserve">Friendly, Michael. 1994.</w:t>
      </w:r>
      <w:r>
        <w:t xml:space="preserve"> </w:t>
      </w:r>
      <w:r>
        <w:t xml:space="preserve">“Mosaic Displays for Multi-Way Contingency Tables.”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89 (425): 190–200.</w:t>
      </w:r>
      <w:r>
        <w:t xml:space="preserve"> </w:t>
      </w:r>
      <w:hyperlink r:id="rId61">
        <w:r>
          <w:rPr>
            <w:rStyle w:val="Hyperlink"/>
          </w:rPr>
          <w:t xml:space="preserve">https://doi.org/10.1080/01621459.1994.10476460</w:t>
        </w:r>
      </w:hyperlink>
      <w:r>
        <w:t xml:space="preserve">.</w:t>
      </w:r>
    </w:p>
    <w:bookmarkEnd w:id="62"/>
    <w:bookmarkStart w:id="64" w:name="ref-hintze1998violin"/>
    <w:p>
      <w:pPr>
        <w:pStyle w:val="Bibliography"/>
      </w:pPr>
      <w:r>
        <w:t xml:space="preserve">Hintze, Jerry L., and Ray D. Nelson. 1998.</w:t>
      </w:r>
      <w:r>
        <w:t xml:space="preserve"> </w:t>
      </w:r>
      <w:r>
        <w:t xml:space="preserve">“Violin Plots: A Box Plot–Density Trace Synergism.”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52 (2): 181–84.</w:t>
      </w:r>
      <w:r>
        <w:t xml:space="preserve"> </w:t>
      </w:r>
      <w:hyperlink r:id="rId63">
        <w:r>
          <w:rPr>
            <w:rStyle w:val="Hyperlink"/>
          </w:rPr>
          <w:t xml:space="preserve">https://doi.org/10.1080/00031305.1998.10480559</w:t>
        </w:r>
      </w:hyperlink>
      <w:r>
        <w:t xml:space="preserve">.</w:t>
      </w:r>
    </w:p>
    <w:bookmarkEnd w:id="64"/>
    <w:bookmarkStart w:id="66" w:name="ref-hofmann2008mosaic"/>
    <w:p>
      <w:pPr>
        <w:pStyle w:val="Bibliography"/>
      </w:pPr>
      <w:r>
        <w:t xml:space="preserve">Hofmann, Heike. 2008.</w:t>
      </w:r>
      <w:r>
        <w:t xml:space="preserve"> </w:t>
      </w:r>
      <w:r>
        <w:t xml:space="preserve">“Mosaic Plots and Their Variants.”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Data Visualization</w:t>
      </w:r>
      <w:r>
        <w:t xml:space="preserve">. Springer Berlin Heidelberg.</w:t>
      </w:r>
      <w:r>
        <w:t xml:space="preserve"> </w:t>
      </w:r>
      <w:hyperlink r:id="rId65">
        <w:r>
          <w:rPr>
            <w:rStyle w:val="Hyperlink"/>
          </w:rPr>
          <w:t xml:space="preserve">https://doi.org/10.1007/978-3-540-33037-0_24</w:t>
        </w:r>
      </w:hyperlink>
      <w:r>
        <w:t xml:space="preserve">.</w:t>
      </w:r>
    </w:p>
    <w:bookmarkEnd w:id="66"/>
    <w:bookmarkStart w:id="68" w:name="ref-matplotlibConfidenceEllipse"/>
    <w:p>
      <w:pPr>
        <w:pStyle w:val="Bibliography"/>
      </w:pPr>
      <w:r>
        <w:t xml:space="preserve">Matplotlib Developers. 2024.</w:t>
      </w:r>
      <w:r>
        <w:t xml:space="preserve"> </w:t>
      </w:r>
      <w:r>
        <w:rPr>
          <w:i/>
          <w:iCs/>
        </w:rPr>
        <w:t xml:space="preserve">Plot a Confidence Ellipse of a Two-Dimensional Dataset</w:t>
      </w:r>
      <w:r>
        <w:t xml:space="preserve">. Matplotlib gallery recipe,</w:t>
      </w:r>
      <w:r>
        <w:t xml:space="preserve"> </w:t>
      </w:r>
      <w:hyperlink r:id="rId67">
        <w:r>
          <w:rPr>
            <w:rStyle w:val="Hyperlink"/>
          </w:rPr>
          <w:t xml:space="preserve">https://matplotlib.org/stable/gallery/statistics/confidence_ellipse.html</w:t>
        </w:r>
      </w:hyperlink>
      <w:r>
        <w:t xml:space="preserve">.</w:t>
      </w:r>
    </w:p>
    <w:bookmarkEnd w:id="68"/>
    <w:bookmarkStart w:id="70" w:name="ref-wilke2017ggridges"/>
    <w:p>
      <w:pPr>
        <w:pStyle w:val="Bibliography"/>
      </w:pPr>
      <w:r>
        <w:t xml:space="preserve">Wilke, Claus O. 2017.</w:t>
      </w:r>
      <w:r>
        <w:t xml:space="preserve"> </w:t>
      </w:r>
      <w:r>
        <w:rPr>
          <w:i/>
          <w:iCs/>
        </w:rPr>
        <w:t xml:space="preserve">Ggridges: Ridgeline Plots in</w:t>
      </w:r>
      <w:r>
        <w:rPr>
          <w:i/>
          <w:iCs/>
        </w:rPr>
        <w:t xml:space="preserve"> </w:t>
      </w:r>
      <w:r>
        <w:rPr>
          <w:i/>
          <w:iCs/>
        </w:rPr>
        <w:t xml:space="preserve">ggplot2</w:t>
      </w:r>
      <w:r>
        <w:t xml:space="preserve">. R package,</w:t>
      </w:r>
      <w:r>
        <w:t xml:space="preserve"> </w:t>
      </w:r>
      <w:hyperlink r:id="rId69">
        <w:r>
          <w:rPr>
            <w:rStyle w:val="Hyperlink"/>
          </w:rPr>
          <w:t xml:space="preserve">https://wilkelab.org/ggridges/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df" /><Relationship Type="http://schemas.openxmlformats.org/officeDocument/2006/relationships/image" Id="rId44" Target="media/rId44.pdf" /><Relationship Type="http://schemas.openxmlformats.org/officeDocument/2006/relationships/image" Id="rId48" Target="media/rId48.pdf" /><Relationship Type="http://schemas.openxmlformats.org/officeDocument/2006/relationships/image" Id="rId40" Target="media/rId40.pdf" /><Relationship Type="http://schemas.openxmlformats.org/officeDocument/2006/relationships/image" Id="rId35" Target="media/rId35.pdf" /><Relationship Type="http://schemas.openxmlformats.org/officeDocument/2006/relationships/image" Id="rId15" Target="media/rId15.pdf" /><Relationship Type="http://schemas.openxmlformats.org/officeDocument/2006/relationships/image" Id="rId25" Target="media/rId25.pdf" /><Relationship Type="http://schemas.openxmlformats.org/officeDocument/2006/relationships/image" Id="rId10" Target="media/rId10.pdf" /><Relationship Type="http://schemas.openxmlformats.org/officeDocument/2006/relationships/image" Id="rId20" Target="media/rId20.pdf" /><Relationship Type="http://schemas.openxmlformats.org/officeDocument/2006/relationships/hyperlink" Id="rId65" Target="https://doi.org/10.1007/978-3-540-33037-0_24" TargetMode="External" /><Relationship Type="http://schemas.openxmlformats.org/officeDocument/2006/relationships/hyperlink" Id="rId57" Target="https://doi.org/10.1038/s41597-023-02061-x" TargetMode="External" /><Relationship Type="http://schemas.openxmlformats.org/officeDocument/2006/relationships/hyperlink" Id="rId63" Target="https://doi.org/10.1080/00031305.1998.10480559" TargetMode="External" /><Relationship Type="http://schemas.openxmlformats.org/officeDocument/2006/relationships/hyperlink" Id="rId61" Target="https://doi.org/10.1080/01621459.1994.10476460" TargetMode="External" /><Relationship Type="http://schemas.openxmlformats.org/officeDocument/2006/relationships/hyperlink" Id="rId59" Target="https://doi.org/10.21105/joss.00024" TargetMode="External" /><Relationship Type="http://schemas.openxmlformats.org/officeDocument/2006/relationships/hyperlink" Id="rId55" Target="https://doi.org/10.6084/m9.figshare.c.5983921.v1" TargetMode="External" /><Relationship Type="http://schemas.openxmlformats.org/officeDocument/2006/relationships/hyperlink" Id="rId67" Target="https://matplotlib.org/stable/gallery/statistics/confidence_ellipse.html" TargetMode="External" /><Relationship Type="http://schemas.openxmlformats.org/officeDocument/2006/relationships/hyperlink" Id="rId69" Target="https://wilkelab.org/ggridges/" TargetMode="External" /><Relationship Type="http://schemas.openxmlformats.org/officeDocument/2006/relationships/hyperlink" Id="rId53" Target="https://www.data-to-viz.com/graph/sanke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007/978-3-540-33037-0_24" TargetMode="External" /><Relationship Type="http://schemas.openxmlformats.org/officeDocument/2006/relationships/hyperlink" Id="rId57" Target="https://doi.org/10.1038/s41597-023-02061-x" TargetMode="External" /><Relationship Type="http://schemas.openxmlformats.org/officeDocument/2006/relationships/hyperlink" Id="rId63" Target="https://doi.org/10.1080/00031305.1998.10480559" TargetMode="External" /><Relationship Type="http://schemas.openxmlformats.org/officeDocument/2006/relationships/hyperlink" Id="rId61" Target="https://doi.org/10.1080/01621459.1994.10476460" TargetMode="External" /><Relationship Type="http://schemas.openxmlformats.org/officeDocument/2006/relationships/hyperlink" Id="rId59" Target="https://doi.org/10.21105/joss.00024" TargetMode="External" /><Relationship Type="http://schemas.openxmlformats.org/officeDocument/2006/relationships/hyperlink" Id="rId55" Target="https://doi.org/10.6084/m9.figshare.c.5983921.v1" TargetMode="External" /><Relationship Type="http://schemas.openxmlformats.org/officeDocument/2006/relationships/hyperlink" Id="rId67" Target="https://matplotlib.org/stable/gallery/statistics/confidence_ellipse.html" TargetMode="External" /><Relationship Type="http://schemas.openxmlformats.org/officeDocument/2006/relationships/hyperlink" Id="rId69" Target="https://wilkelab.org/ggridges/" TargetMode="External" /><Relationship Type="http://schemas.openxmlformats.org/officeDocument/2006/relationships/hyperlink" Id="rId53" Target="https://www.data-to-viz.com/graph/sanke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Supplementary I — Relating topics to labels and covariates: a visual annex Companion to: Beyond Accuracy (cross-section relational visualisations)</dc:title>
  <dc:creator>Felipe Santibáñez-Leal</dc:creator>
  <cp:keywords/>
  <dcterms:created xsi:type="dcterms:W3CDTF">2026-05-15T12:27:19Z</dcterms:created>
  <dcterms:modified xsi:type="dcterms:W3CDTF">2026-05-15T12:27:19Z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D:\_Repos\_Web_Projects\CAOS_LDA_HSI_Paper\bibliography\refs.bib</vt:lpwstr>
  </property>
  <property fmtid="{D5CDD505-2E9C-101B-9397-08002B2CF9AE}" pid="3" name="date">
    <vt:lpwstr>2026</vt:lpwstr>
  </property>
</Properties>
</file>