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df" ContentType="application/pdf"/>
  <Override PartName="/word/media/rId50.pdf" ContentType="application/pdf"/>
  <Override PartName="/word/media/rId34.pdf" ContentType="application/pdf"/>
  <Override PartName="/word/media/rId45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 Supplementary F — Extended per-axis results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Beyond Accuracy</w:t>
      </w:r>
      <w:r>
        <w:t xml:space="preserve"> </w:t>
      </w:r>
      <w:r>
        <w:t xml:space="preserve">(Section VI)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provides the full per-axis result tables for the 6</w:t>
      </w:r>
      <w:r>
        <w:t xml:space="preserve"> </w:t>
      </w:r>
      <w:r>
        <w:t xml:space="preserve">labelled scenes and 5 HIDSAG subsets that did not fit in journal</w:t>
      </w:r>
      <w:r>
        <w:t xml:space="preserve"> </w:t>
      </w:r>
      <w:r>
        <w:t xml:space="preserve">Section VI. All numbers are read directly from the public artefacts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CAOS_LDA_HSI/data/derived/</w:t>
      </w:r>
      <w:r>
        <w:t xml:space="preserve">.</w:t>
      </w:r>
    </w:p>
    <w:bookmarkEnd w:id="9"/>
    <w:bookmarkStart w:id="14" w:name="X410b271ad52135ce3a7b683fe2497b54545aa5c"/>
    <w:p>
      <w:pPr>
        <w:pStyle w:val="Heading1"/>
      </w:pPr>
      <w:r>
        <w:t xml:space="preserve">Axis F-1: hierarchical Bayesian classification — pairwise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]</m:t>
        </m:r>
      </m:oMath>
    </w:p>
    <w:bookmarkStart w:id="11" w:name="labelled-scene-block"/>
    <w:p>
      <w:pPr>
        <w:pStyle w:val="Heading2"/>
      </w:pPr>
      <w:r>
        <w:t xml:space="preserve">Labelled-scene block</w:t>
      </w:r>
    </w:p>
    <w:bookmarkStart w:id="10" w:name="tab:b1-pair-labelled"/>
    <w:p>
      <w:pPr>
        <w:pStyle w:val="TableCaption"/>
      </w:pPr>
      <w:r>
        <w:t xml:space="preserve">Pairwise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labelled-scene posterior (rows</w:t>
      </w:r>
      <w:r>
        <w:t xml:space="preserve"> </w:t>
      </w:r>
      <w:r>
        <w:t xml:space="preserve">= method A, columns = method B). Estimated from 2000 NUTS draws.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P[A &gt; B] from the labelled-scene posterior (rows = method A, columns = method B). Estimated from 2000 NUTS draw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 \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pca_K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pca_K_logistic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theta_logistic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topic_routed_hard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topic_routed_soft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0"/>
    <w:p>
      <w:pPr>
        <w:pStyle w:val="BodyText"/>
      </w:pPr>
      <w:r>
        <w:t xml:space="preserve">The dominant observation is in the bottom-right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block: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rPr>
            <m:nor/>
            <m:sty m:val="p"/>
          </m:rPr>
          <m:t>soft</m:t>
        </m:r>
        <m:r>
          <m:rPr>
            <m:sty m:val="p"/>
          </m:rPr>
          <m:t>&gt;</m:t>
        </m:r>
        <m:r>
          <m:rPr>
            <m:nor/>
            <m:sty m:val="p"/>
          </m:rPr>
          <m:t>raw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rPr>
            <m:nor/>
            <m:sty m:val="p"/>
          </m:rPr>
          <m:t>hard</m:t>
        </m:r>
        <m:r>
          <m:rPr>
            <m:sty m:val="p"/>
          </m:rPr>
          <m:t>&gt;</m:t>
        </m:r>
        <m:r>
          <m:rPr>
            <m:nor/>
            <m:sty m:val="p"/>
          </m:rPr>
          <m:t>raw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rPr>
            <m:nor/>
            <m:sty m:val="p"/>
          </m:rPr>
          <m:t>soft</m:t>
        </m:r>
        <m:r>
          <m:rPr>
            <m:sty m:val="p"/>
          </m:rPr>
          <m:t>&gt;</m:t>
        </m:r>
        <m:r>
          <m:rPr>
            <m:nor/>
            <m:sty m:val="p"/>
          </m:rPr>
          <m:t>hard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0.68</m:t>
        </m:r>
      </m:oMath>
      <w:r>
        <w:t xml:space="preserve">. Topic-routed-soft is</w:t>
      </w:r>
      <w:r>
        <w:t xml:space="preserve"> </w:t>
      </w:r>
      <w:r>
        <w:t xml:space="preserve">the leading method by a small margin; topic-routed-hard and</w:t>
      </w:r>
      <w:r>
        <w:t xml:space="preserve"> </w:t>
      </w:r>
      <w:r>
        <w:t xml:space="preserve">raw-logistic are statistically indistinguishable. theta_logistic</w:t>
      </w:r>
      <w:r>
        <w:t xml:space="preserve"> </w:t>
      </w:r>
      <w:r>
        <w:t xml:space="preserve">alone is dominated by every other method, confirming that</w:t>
      </w:r>
      <w:r>
        <w:t xml:space="preserve"> </w:t>
      </w:r>
      <m:oMath>
        <m:r>
          <m:t>θ</m:t>
        </m:r>
      </m:oMath>
      <w:r>
        <w:t xml:space="preserve">-as-feature without the gating wrapper discards too much</w:t>
      </w:r>
      <w:r>
        <w:t xml:space="preserve"> </w:t>
      </w:r>
      <w:r>
        <w:t xml:space="preserve">information.</w:t>
      </w:r>
    </w:p>
    <w:bookmarkEnd w:id="11"/>
    <w:bookmarkStart w:id="13" w:name="hidsag-block"/>
    <w:p>
      <w:pPr>
        <w:pStyle w:val="Heading2"/>
      </w:pPr>
      <w:r>
        <w:t xml:space="preserve">HIDSAG block</w:t>
      </w:r>
    </w:p>
    <w:bookmarkStart w:id="12" w:name="tab:b1-pair-hidsag"/>
    <w:p>
      <w:pPr>
        <w:pStyle w:val="TableCaption"/>
      </w:pPr>
      <w:r>
        <w:t xml:space="preserve">Pairwise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HIDSAG posterior. Methods:</w:t>
      </w:r>
      <w:r>
        <w:t xml:space="preserve"> </w:t>
      </w:r>
      <w:r>
        <w:t xml:space="preserve">cube = cube-topic logistic, pca = PCA logistic, raw = raw logistic,</w:t>
      </w:r>
      <w:r>
        <w:t xml:space="preserve"> </w:t>
      </w:r>
      <w:r>
        <w:t xml:space="preserve">rgn = region-topic logistic,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= topic logistic.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P[A &gt; B] from the HIDSAG posterior. Methods: cube = cube-topic logistic, pca = PCA logistic, raw = raw logistic, rgn = region-topic logistic, \theta = topic logistic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 \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rgn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cube_topic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region_topic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theta_logistic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2"/>
    <w:p>
      <w:pPr>
        <w:pStyle w:val="BodyText"/>
      </w:pPr>
      <w:r>
        <w:t xml:space="preserve">The HIDSAG inversion is the row-pattern of raw_logistic: 1.00, 0.72,</w:t>
      </w:r>
      <w:r>
        <w:t xml:space="preserve"> </w:t>
      </w:r>
      <w:r>
        <w:t xml:space="preserve">1.00, 1.00. Raw-spectrum logistic dominates every topic-based method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θ</m:t>
        </m:r>
      </m:oMath>
      <w:r>
        <w:t xml:space="preserve">-logistic and region-topic. The</w:t>
      </w:r>
      <w:r>
        <w:t xml:space="preserve"> </w:t>
      </w:r>
      <w:r>
        <w:t xml:space="preserve">ordering is exactly the labelled-scene ordering inverted.</w:t>
      </w:r>
    </w:p>
    <w:bookmarkEnd w:id="13"/>
    <w:bookmarkEnd w:id="14"/>
    <w:bookmarkStart w:id="16" w:name="axis-f-2-per-scene-coherence"/>
    <w:p>
      <w:pPr>
        <w:pStyle w:val="Heading1"/>
      </w:pPr>
      <w:r>
        <w:t xml:space="preserve">Axis F-2: per-scene coherence</w:t>
      </w:r>
    </w:p>
    <w:bookmarkStart w:id="15" w:name="tab:b2"/>
    <w:p>
      <w:pPr>
        <w:pStyle w:val="TableCaption"/>
      </w:pPr>
      <w:r>
        <w:t xml:space="preserve">Canonical-fit coherence per scene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top words.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nonical-fit coherence per scene at N = 15 top word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NPMI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U-Mass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0.646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5"/>
    <w:bookmarkEnd w:id="16"/>
    <w:bookmarkStart w:id="18" w:name="axis-f-3-seed-stability-per-scene-method"/>
    <w:p>
      <w:pPr>
        <w:pStyle w:val="Heading1"/>
      </w:pPr>
      <w:r>
        <w:t xml:space="preserve">Axis F-3: seed stability per (scene, method)</w:t>
      </w:r>
    </w:p>
    <w:bookmarkStart w:id="17" w:name="tab:b3-full"/>
    <w:p>
      <w:pPr>
        <w:pStyle w:val="TableCaption"/>
      </w:pPr>
      <w:r>
        <w:t xml:space="preserve">ARI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 over 5 seeds.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mean reported alongside.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I mean \pm std over 5 seeds. c_v mean reported alongsid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ARI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ARI std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mean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0.412</w:t>
            </w:r>
          </w:p>
        </w:tc>
      </w:tr>
    </w:tbl>
    <w:bookmarkEnd w:id="17"/>
    <w:p>
      <w:pPr>
        <w:pStyle w:val="BodyText"/>
      </w:pPr>
      <w:r>
        <w:t xml:space="preserve">Across the 12 (scene, method) cells, ETM achieves higher mean ARI on</w:t>
      </w:r>
      <w:r>
        <w:t xml:space="preserve"> </w:t>
      </w:r>
      <w:r>
        <w:t xml:space="preserve">6/6 scenes and lower mean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on 6/6. The within-seed standard</w:t>
      </w:r>
      <w:r>
        <w:t xml:space="preserve"> </w:t>
      </w:r>
      <w:r>
        <w:t xml:space="preserve">deviation is below 0.03 in every cell, confirming that the</w:t>
      </w:r>
      <w:r>
        <w:t xml:space="preserve"> </w:t>
      </w:r>
      <w:r>
        <w:t xml:space="preserve">neural-topic-model seed-stability is, on these benchmarks, a</w:t>
      </w:r>
      <w:r>
        <w:t xml:space="preserve"> </w:t>
      </w:r>
      <w:r>
        <w:t xml:space="preserve">mean-shift between methods rather than a per-method variance</w:t>
      </w:r>
      <w:r>
        <w:t xml:space="preserve"> </w:t>
      </w:r>
      <w:r>
        <w:t xml:space="preserve">problem.</w:t>
      </w:r>
    </w:p>
    <w:bookmarkEnd w:id="18"/>
    <w:bookmarkStart w:id="20" w:name="Xe7b936805621b785abab0b863d42d89fa9799a8"/>
    <w:p>
      <w:pPr>
        <w:pStyle w:val="Heading1"/>
      </w:pPr>
      <w:r>
        <w:t xml:space="preserve">Axis F-4: capacity sweep — recommended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per scene</w:t>
      </w:r>
    </w:p>
    <w:bookmarkStart w:id="19" w:name="tab:b4-recK"/>
    <w:p>
      <w:pPr>
        <w:pStyle w:val="TableCaption"/>
      </w:pPr>
      <w:r>
        <w:t xml:space="preserve">Per-scene recommended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 the LDA sweep. The recipe</w:t>
      </w:r>
      <w:r>
        <w:t xml:space="preserve"> </w:t>
      </w:r>
      <w:r>
        <w:t xml:space="preserve">selects the smallest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where the marginal perplexity drop falls</w:t>
      </w:r>
      <w:r>
        <w:t xml:space="preserve"> </w:t>
      </w:r>
      <w:r>
        <w:t xml:space="preserve">below threshold.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scene recommended K from the LDA sweep. The recipe selects the smallest K where the marginal perplexity drop falls below threshol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Recommended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grid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{4,6,8,10,12,16}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matched-cosine 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matched-cosine 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matched-cosine 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matched-cosine 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matched-cosine 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matched-cosine plateau</w:t>
            </w:r>
          </w:p>
        </w:tc>
      </w:tr>
    </w:tbl>
    <w:bookmarkEnd w:id="19"/>
    <w:p>
      <w:pPr>
        <w:pStyle w:val="BodyText"/>
      </w:pPr>
      <w:r>
        <w:t xml:space="preserve">The recommendation is uniformly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under the</w:t>
      </w:r>
      <w:r>
        <w:t xml:space="preserve"> </w:t>
      </w:r>
      <w:r>
        <w:t xml:space="preserve">matched-cosine-plateau recipe, which is more conservative than the</w:t>
      </w:r>
      <w:r>
        <w:t xml:space="preserve"> </w:t>
      </w:r>
      <w:r>
        <w:t xml:space="preserve">canonical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used elsewhere</w:t>
      </w:r>
      <w:r>
        <w:t xml:space="preserve"> </w:t>
      </w:r>
      <w:r>
        <w:t xml:space="preserve">in the paper. The difference is by design: the canonical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chosen for downstream classification surface coverage, the</w:t>
      </w:r>
      <w:r>
        <w:t xml:space="preserve"> </w:t>
      </w:r>
      <w:r>
        <w:t xml:space="preserve">recommended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chosen for basis-stability.</w:t>
      </w:r>
    </w:p>
    <w:bookmarkEnd w:id="20"/>
    <w:bookmarkStart w:id="22" w:name="axis-f-5-full-paired-ari-per-scene-mask"/>
    <w:p>
      <w:pPr>
        <w:pStyle w:val="Heading1"/>
      </w:pPr>
      <w:r>
        <w:t xml:space="preserve">Axis F-5: full paired ARI per (scene, mask)</w:t>
      </w:r>
    </w:p>
    <w:p>
      <w:pPr>
        <w:pStyle w:val="FirstParagraph"/>
      </w:pPr>
      <w:r>
        <w:t xml:space="preserve">Restated from conference supplement D for completeness: paired ARI</w:t>
      </w:r>
      <w:r>
        <w:t xml:space="preserve"> </w:t>
      </w:r>
      <w:r>
        <w:t xml:space="preserve">values are in conference table I of the main paper. The full table</w:t>
      </w:r>
      <w:r>
        <w:t xml:space="preserve"> </w:t>
      </w:r>
      <w:r>
        <w:t xml:space="preserve">with swap rates, bands kept, perplexity, and ARI-vs-label is in</w:t>
      </w:r>
      <w:r>
        <w:t xml:space="preserve"> </w:t>
      </w:r>
      <w:r>
        <w:t xml:space="preserve">conference supplement D.</w:t>
      </w:r>
    </w:p>
    <w:bookmarkStart w:id="21" w:name="subsec:paired-ari-uncertainty"/>
    <w:p>
      <w:pPr>
        <w:pStyle w:val="Heading2"/>
      </w:pPr>
      <w:r>
        <w:t xml:space="preserve">Paired-ARI uncertainty quantification</w:t>
      </w:r>
    </w:p>
    <w:p>
      <w:pPr>
        <w:pStyle w:val="FirstParagraph"/>
      </w:pPr>
      <w:r>
        <w:t xml:space="preserve">The headline contrast between Salinas-A SWIR (paired ARI</w:t>
      </w:r>
      <w:r>
        <w:t xml:space="preserve"> </w:t>
      </w:r>
      <m:oMath>
        <m:r>
          <m:rPr>
            <m:sty m:val="p"/>
          </m:rPr>
          <m:t>=</m:t>
        </m:r>
        <m:r>
          <m:t>0.766</m:t>
        </m:r>
      </m:oMath>
      <w:r>
        <w:t xml:space="preserve">)</w:t>
      </w:r>
      <w:r>
        <w:t xml:space="preserve"> </w:t>
      </w:r>
      <w:r>
        <w:t xml:space="preserve">and KSC under any mask (paired ARI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) carries the</w:t>
      </w:r>
      <w:r>
        <w:t xml:space="preserve"> </w:t>
      </w:r>
      <w:r>
        <w:t xml:space="preserve">band-fragile narrative of the paper. The audit issue</w:t>
      </w:r>
      <w:r>
        <w:t xml:space="preserve"> </w:t>
      </w:r>
      <w:r>
        <w:rPr>
          <w:rStyle w:val="VerbatimChar"/>
        </w:rPr>
        <w:t xml:space="preserve">CAOS_LDA_HSI_Paper#7</w:t>
      </w:r>
      <w:r>
        <w:t xml:space="preserve"> </w:t>
      </w:r>
      <w:r>
        <w:t xml:space="preserve">flagged that those point estimates</w:t>
      </w:r>
      <w:r>
        <w:t xml:space="preserve"> </w:t>
      </w:r>
      <w:r>
        <w:t xml:space="preserve">were reported without error bars. The table below closes that gap with</w:t>
      </w:r>
      <w:r>
        <w:t xml:space="preserve"> </w:t>
      </w:r>
      <w:r>
        <w:t xml:space="preserve">two independent uncertainty quantifications per (scene, mask) tuple: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Permutation null</w:t>
      </w:r>
      <w:r>
        <w:t xml:space="preserve">: for each tuple, the masked-fit</w:t>
      </w:r>
      <w:r>
        <w:t xml:space="preserve"> </w:t>
      </w:r>
      <w:r>
        <w:t xml:space="preserve">dominant-topic vector is uniformly shuffled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times. Each shuffle yields an ARI under the null hypothesis</w:t>
      </w:r>
      <w:r>
        <w:t xml:space="preserve"> </w:t>
      </w:r>
      <w:r>
        <w:t xml:space="preserve">“the two</w:t>
      </w:r>
      <w:r>
        <w:t xml:space="preserve"> </w:t>
      </w:r>
      <w:r>
        <w:t xml:space="preserve">maps share no structure beyond marginal label proportions”</w:t>
      </w:r>
      <w:r>
        <w:t xml:space="preserve">. The</w:t>
      </w:r>
      <w:r>
        <w:t xml:space="preserve"> </w:t>
      </w:r>
      <w:r>
        <w:t xml:space="preserve">permutation</w:t>
      </w:r>
      <w:r>
        <w:t xml:space="preserve"> </w:t>
      </w:r>
      <m:oMath>
        <m:r>
          <m:t>p</m:t>
        </m:r>
      </m:oMath>
      <w:r>
        <w:t xml:space="preserve">-value is the fraction of permuted ARIs at least as</w:t>
      </w:r>
      <w:r>
        <w:t xml:space="preserve"> </w:t>
      </w:r>
      <w:r>
        <w:t xml:space="preserve">large as the observed ARI.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Bootstrap 95% CI</w:t>
      </w:r>
      <w:r>
        <w:t xml:space="preserve">: pixels paired in both maps are</w:t>
      </w:r>
      <w:r>
        <w:t xml:space="preserve"> </w:t>
      </w:r>
      <w:r>
        <w:t xml:space="preserve">resampled with replacement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boot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times; each</w:t>
      </w:r>
      <w:r>
        <w:t xml:space="preserve"> </w:t>
      </w:r>
      <w:r>
        <w:t xml:space="preserve">resample yields an ARI; the 2.5–97.5 percentile band is reported.</w:t>
      </w:r>
    </w:p>
    <w:p>
      <w:pPr>
        <w:pStyle w:val="FirstParagraph"/>
      </w:pPr>
      <w:r>
        <w:t xml:space="preserve">Pixels are capped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 tuple via random subsample</w:t>
      </w:r>
      <w:r>
        <w:t xml:space="preserve"> </w:t>
      </w:r>
      <w:r>
        <w:t xml:space="preserve">under a fixed seed (RNG seed 42); the permutation null is identical</w:t>
      </w:r>
      <w:r>
        <w:t xml:space="preserve"> </w:t>
      </w:r>
      <w:r>
        <w:t xml:space="preserve">in distribution to the full-population null at this sample size and</w:t>
      </w:r>
      <w:r>
        <w:t xml:space="preserve"> </w:t>
      </w:r>
      <w:r>
        <w:t xml:space="preserve">the bootstrap CI is conservative by a factor of</w:t>
      </w:r>
      <w:r>
        <w:t xml:space="preserve"> </w:t>
      </w:r>
      <m:oMath>
        <m:rad>
          <m:radPr>
            <m:degHide m:val="on"/>
          </m:radPr>
          <m:deg/>
          <m:e>
            <m:r>
              <m:t>D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rad>
      </m:oMath>
      <w:r>
        <w:t xml:space="preserve"> </w:t>
      </w:r>
      <w:r>
        <w:t xml:space="preserve">when the full count exceeds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. The reproduction script is</w:t>
      </w:r>
      <w:r>
        <w:t xml:space="preserve"> </w:t>
      </w:r>
      <w:r>
        <w:rPr>
          <w:rStyle w:val="VerbatimChar"/>
        </w:rPr>
        <w:t xml:space="preserve">figures/source/build_paired_ari_uncertainty.py</w:t>
      </w:r>
      <w:r>
        <w:t xml:space="preserve"> </w:t>
      </w:r>
      <w:r>
        <w:t xml:space="preserve">in the</w:t>
      </w:r>
      <w:r>
        <w:t xml:space="preserve"> </w:t>
      </w:r>
      <w:r>
        <w:t xml:space="preserve">companion code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paired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Observed ARI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Bootstrap 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Perm.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Null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[0.400, 0.454]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[0.503, 0.552]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[0.476, 0.526]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Fisher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[0.375, 0.424]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[0.519, 0.562]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[0.416, 0.456]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[0.481, 0.522]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Fisher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[0.487, 0.530]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[0.486, 0.557]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[0.735, 0.800]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[0.513, 0.556]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Fisher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[0.326, 0.384]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[0.385, 0.446]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(skipped: only 0 bands kept after mask; need &gt;=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[0.385, 0.446]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Fisher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[0.358, 0.419]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[0.006, 0.013]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[0.005, 0.018]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[0.004, 0.010]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Fisher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[0.007, 0.019]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[0.096, 0.123]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[0.003, 0.025]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[0.116, 0.140]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Fisher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[0.103, 0.135]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0.003</w:t>
            </w:r>
          </w:p>
        </w:tc>
      </w:tr>
    </w:tbl>
    <w:p>
      <w:pPr>
        <w:pStyle w:val="BodyText"/>
      </w:pPr>
      <w:r>
        <w:t xml:space="preserve">Every (scene, mask) tuple carries a permutation</w:t>
      </w:r>
      <w:r>
        <w:t xml:space="preserve"> </w:t>
      </w:r>
      <m:oMath>
        <m:r>
          <m:t>p</m:t>
        </m:r>
      </m:oMath>
      <w:r>
        <w:t xml:space="preserve">-value below</w:t>
      </w:r>
      <w:r>
        <w:t xml:space="preserve"> </w:t>
      </w:r>
      <m:oMath>
        <m:r>
          <m:t>0.05</m:t>
        </m:r>
      </m:oMath>
      <w:r>
        <w:t xml:space="preserve">; 23 of 24 carry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(only Botswana / SWIR comes in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0.003</m:t>
        </m:r>
      </m:oMath>
      <w:r>
        <w:t xml:space="preserve">). The Salinas-A / SWIR headline of</w:t>
      </w:r>
      <w:r>
        <w:t xml:space="preserve"> </w:t>
      </w:r>
      <m:oMath>
        <m:r>
          <m:t>0.766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95% CI</w:t>
      </w:r>
      <w:r>
        <w:t xml:space="preserve"> </w:t>
      </w:r>
      <m:oMath>
        <m:r>
          <m:rPr>
            <m:sty m:val="p"/>
          </m:rPr>
          <m:t>[</m:t>
        </m:r>
        <m:r>
          <m:t>0.735</m:t>
        </m:r>
        <m:r>
          <m:rPr>
            <m:sty m:val="p"/>
          </m:rPr>
          <m:t>,</m:t>
        </m:r>
        <m:r>
          <m:t>0.800</m:t>
        </m:r>
        <m:r>
          <m:rPr>
            <m:sty m:val="p"/>
          </m:rPr>
          <m:t>]</m:t>
        </m:r>
      </m:oMath>
      <w:r>
        <w:t xml:space="preserve"> </w:t>
      </w:r>
      <w:r>
        <w:t xml:space="preserve">— the basis is genuinely</w:t>
      </w:r>
      <w:r>
        <w:t xml:space="preserve"> </w:t>
      </w:r>
      <w:r>
        <w:t xml:space="preserve">SWIR-robust on that scene. The KSC tuples all sit at observed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0.007</m:t>
        </m:r>
        <m:r>
          <m:rPr>
            <m:sty m:val="p"/>
          </m:rPr>
          <m:t>,</m:t>
        </m:r>
        <m:r>
          <m:t>0.013</m:t>
        </m:r>
        <m:r>
          <m:rPr>
            <m:sty m:val="p"/>
          </m:rPr>
          <m:t>]</m:t>
        </m:r>
      </m:oMath>
      <w:r>
        <w:t xml:space="preserve"> </w:t>
      </w:r>
      <w:r>
        <w:t xml:space="preserve">with 95% CIs that do not cross zero; the</w:t>
      </w:r>
      <w:r>
        <w:t xml:space="preserve"> </w:t>
      </w:r>
      <w:r>
        <w:t xml:space="preserve">null mean is exactly zero by construction, so KSC is significantly</w:t>
      </w:r>
      <w:r>
        <w:t xml:space="preserve"> </w:t>
      </w:r>
      <w:r>
        <w:rPr>
          <w:i/>
          <w:iCs/>
        </w:rPr>
        <w:t xml:space="preserve">non-zero</w:t>
      </w:r>
      <w:r>
        <w:t xml:space="preserve"> </w:t>
      </w:r>
      <w:r>
        <w:t xml:space="preserve">but still genuinely band-fragile relative to every</w:t>
      </w:r>
      <w:r>
        <w:t xml:space="preserve"> </w:t>
      </w:r>
      <w:r>
        <w:t xml:space="preserve">other scene’s tighter alignment.</w:t>
      </w:r>
    </w:p>
    <w:bookmarkEnd w:id="21"/>
    <w:bookmarkEnd w:id="22"/>
    <w:bookmarkStart w:id="24" w:name="axis-f-6-cross-method-ari-per-scene"/>
    <w:p>
      <w:pPr>
        <w:pStyle w:val="Heading1"/>
      </w:pPr>
      <w:r>
        <w:t xml:space="preserve">Axis F-6: cross-method ARI per scene</w:t>
      </w:r>
    </w:p>
    <w:bookmarkStart w:id="23" w:name="tab:b6-ip"/>
    <w:p>
      <w:pPr>
        <w:pStyle w:val="TableCaption"/>
      </w:pPr>
      <w:r>
        <w:t xml:space="preserve">Cross-method ARI on Indian Pines (excerpt from journal Table</w:t>
      </w:r>
      <w:r>
        <w:t xml:space="preserve"> </w:t>
      </w:r>
      <w:r>
        <w:t xml:space="preserve">III). Full per-scene tables in companion artefact</w:t>
      </w:r>
      <w:r>
        <w:t xml:space="preserve"> </w:t>
      </w:r>
      <w:r>
        <w:rPr>
          <w:rStyle w:val="VerbatimChar"/>
        </w:rPr>
        <w:t xml:space="preserve">cross_method_agreement/&lt;scene&gt;.json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method ARI on Indian Pines (excerpt from journal Table III). Full per-scene tables in companion artefact cross_method_agreement/&lt;scene&gt;.jso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lbl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felz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SLIC500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SLIC2k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topic-dom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felzenszwalb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SLIC-500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SLIC-2000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23"/>
    <w:bookmarkEnd w:id="24"/>
    <w:bookmarkStart w:id="26" w:name="axis-f-7-topiclabel-coupling-per-scene"/>
    <w:p>
      <w:pPr>
        <w:pStyle w:val="Heading1"/>
      </w:pPr>
      <w:r>
        <w:t xml:space="preserve">Axis F-7: topic–label coupling per scene</w:t>
      </w:r>
    </w:p>
    <w:bookmarkStart w:id="25" w:name="tab:b7"/>
    <w:p>
      <w:pPr>
        <w:pStyle w:val="TableCaption"/>
      </w:pPr>
      <w:r>
        <w:t xml:space="preserve">Per-scene mean and max KL between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marginal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on the canonical fit.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scene mean and max KL between P(L \mid t) and the marginal P(L) on the canonical fi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KL mean (nats)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KL max (nats)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27.63</w:t>
            </w:r>
          </w:p>
        </w:tc>
      </w:tr>
    </w:tbl>
    <w:bookmarkEnd w:id="25"/>
    <w:bookmarkEnd w:id="26"/>
    <w:bookmarkStart w:id="33" w:name="sec:per_class_pr"/>
    <w:p>
      <w:pPr>
        <w:pStyle w:val="Heading1"/>
      </w:pPr>
      <w:r>
        <w:t xml:space="preserve">Axis F-7 companion: per-class precision / recall</w:t>
      </w:r>
    </w:p>
    <w:p>
      <w:pPr>
        <w:pStyle w:val="FirstParagraph"/>
      </w:pPr>
      <w:r>
        <w:t xml:space="preserve">The main paper reports macro F1 for the canonical topic-routed</w:t>
      </w:r>
      <w:r>
        <w:t xml:space="preserve"> </w:t>
      </w:r>
      <w:r>
        <w:t xml:space="preserve">classifier (axis F-1) but does not break out per-class</w:t>
      </w:r>
      <w:r>
        <w:t xml:space="preserve"> </w:t>
      </w:r>
      <w:r>
        <w:t xml:space="preserve">precision and recall. Per-class numbers expose which classes the</w:t>
      </w:r>
      <w:r>
        <w:t xml:space="preserve"> </w:t>
      </w:r>
      <w:r>
        <w:t xml:space="preserve">canonical basis explains well versus which classes share a topic</w:t>
      </w:r>
      <w:r>
        <w:t xml:space="preserve"> </w:t>
      </w:r>
      <w:r>
        <w:t xml:space="preserve">basin with another class.</w:t>
      </w:r>
    </w:p>
    <w:p>
      <w:pPr>
        <w:pStyle w:val="BodyText"/>
      </w:pPr>
      <w:r>
        <w:t xml:space="preserve">The tables below report per-class precision, recall and F1 for the</w:t>
      </w:r>
      <w:r>
        <w:t xml:space="preserve"> </w:t>
      </w:r>
      <w:r>
        <w:t xml:space="preserve">topic-routed-</w:t>
      </w:r>
      <w:r>
        <w:rPr>
          <w:i/>
          <w:iCs/>
        </w:rPr>
        <w:t xml:space="preserve">hard</w:t>
      </w:r>
      <w:r>
        <w:t xml:space="preserve"> </w:t>
      </w:r>
      <w:r>
        <w:t xml:space="preserve">classifier (each pixel labelled with the</w:t>
      </w:r>
      <w:r>
        <w:t xml:space="preserve"> </w:t>
      </w:r>
      <w:r>
        <w:t xml:space="preserve">arg-max topic, each topic mapped to its arg-max label) under the</w:t>
      </w:r>
      <w:r>
        <w:t xml:space="preserve"> </w:t>
      </w:r>
      <w:r>
        <w:t xml:space="preserve">canonical fit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tokens. The numbers are</w:t>
      </w:r>
      <w:r>
        <w:t xml:space="preserve"> </w:t>
      </w:r>
      <w:r>
        <w:t xml:space="preserve">computed directly from the per-(scene)</w:t>
      </w:r>
      <w:r>
        <w:t xml:space="preserve"> </w:t>
      </w:r>
      <w:r>
        <w:rPr>
          <w:rStyle w:val="VerbatimChar"/>
        </w:rPr>
        <w:t xml:space="preserve">p_label_given_topic_dominant</w:t>
      </w:r>
      <w:r>
        <w:t xml:space="preserve"> </w:t>
      </w:r>
      <w:r>
        <w:t xml:space="preserve">joint counts in the</w:t>
      </w:r>
      <w:r>
        <w:t xml:space="preserve"> </w:t>
      </w:r>
      <w:r>
        <w:t xml:space="preserve">canonical pipeline output — see</w:t>
      </w:r>
      <w:r>
        <w:t xml:space="preserve"> </w:t>
      </w:r>
      <w:r>
        <w:rPr>
          <w:rStyle w:val="VerbatimChar"/>
        </w:rPr>
        <w:t xml:space="preserve">figures/source/build_per_class_pr_table.py</w:t>
      </w:r>
      <w:r>
        <w:t xml:space="preserve"> </w:t>
      </w:r>
      <w:r>
        <w:t xml:space="preserve">in the</w:t>
      </w:r>
      <w:r>
        <w:t xml:space="preserve"> </w:t>
      </w:r>
      <w:r>
        <w:t xml:space="preserve">companion code repository for the reproduction script.</w:t>
      </w:r>
    </w:p>
    <w:p>
      <w:pPr>
        <w:pStyle w:val="BodyText"/>
      </w:pPr>
      <w:r>
        <w:t xml:space="preserve">The macro averages mirror the F-7 KL-coupling pattern of</w:t>
      </w:r>
      <w:r>
        <w:t xml:space="preserve"> </w:t>
      </w:r>
      <w:r>
        <w:t xml:space="preserve">Table </w:t>
      </w:r>
      <w:hyperlink w:anchor="tab:b7">
        <w:r>
          <w:rPr>
            <w:rStyle w:val="Hyperlink"/>
          </w:rPr>
          <w:t xml:space="preserve">7</w:t>
        </w:r>
      </w:hyperlink>
      <w:r>
        <w:t xml:space="preserve">: scenes where the canonical basis explains the</w:t>
      </w:r>
      <w:r>
        <w:t xml:space="preserve"> </w:t>
      </w:r>
      <w:r>
        <w:t xml:space="preserve">labels well (Salinas, Salinas-A) carry the higher macro F1; KSC’s</w:t>
      </w:r>
      <w:r>
        <w:t xml:space="preserve"> </w:t>
      </w:r>
      <w:r>
        <w:t xml:space="preserve">macro F1 of 0.025 is the headline</w:t>
      </w:r>
      <w:r>
        <w:t xml:space="preserve"> </w:t>
      </w:r>
      <w:r>
        <w:t xml:space="preserve">“band-fragile”</w:t>
      </w:r>
      <w:r>
        <w:t xml:space="preserve"> </w:t>
      </w:r>
      <w:r>
        <w:t xml:space="preserve">result already</w:t>
      </w:r>
      <w:r>
        <w:t xml:space="preserve"> </w:t>
      </w:r>
      <w:r>
        <w:t xml:space="preserve">surfaced in the main paper, and the per-class breakdown shows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KSC class except one carries F1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canonical basis is genuinely unaligned to the KSC label set, not</w:t>
      </w:r>
      <w:r>
        <w:t xml:space="preserve"> </w:t>
      </w:r>
      <w:r>
        <w:t xml:space="preserve">just weakly aligned on a handful of classes.</w:t>
      </w:r>
    </w:p>
    <w:bookmarkStart w:id="27" w:name="indian-pines"/>
    <w:p>
      <w:pPr>
        <w:pStyle w:val="Heading2"/>
      </w:pPr>
      <w:r>
        <w:t xml:space="preserve">Indian Pines</w:t>
      </w:r>
    </w:p>
    <w:p>
      <w:pPr>
        <w:pStyle w:val="FirstParagraph"/>
      </w:pPr>
      <w:r>
        <w:t xml:space="preserve">Per-class precision, recall and F1 for the topic-routed-hard classifier under the canonical fit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).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 support</w:t>
      </w:r>
      <w:r>
        <w:t xml:space="preserve"> </w:t>
      </w:r>
      <m:oMath>
        <m:r>
          <m:rPr>
            <m:sty m:val="p"/>
          </m:rPr>
          <m:t>=</m:t>
        </m:r>
        <m:r>
          <m:t>2812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Alfalfa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Corn-notill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Corn-mintill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Grass-pasture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Grass-trees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Grass-pasture-mowed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Hay-windrowed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Soybean-notill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Soybean-mintill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Soybean-clean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Buildings-Grass-Trees-Drives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Stone-Steel-Towers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Micro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</w:tr>
    </w:tbl>
    <w:bookmarkEnd w:id="27"/>
    <w:bookmarkStart w:id="28" w:name="salinas"/>
    <w:p>
      <w:pPr>
        <w:pStyle w:val="Heading2"/>
      </w:pPr>
      <w:r>
        <w:t xml:space="preserve">Salinas</w:t>
      </w:r>
    </w:p>
    <w:p>
      <w:pPr>
        <w:pStyle w:val="FirstParagraph"/>
      </w:pPr>
      <w:r>
        <w:t xml:space="preserve">Per-class precision, recall and F1 for the topic-routed-hard classifier under the canonical fit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).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 support</w:t>
      </w:r>
      <w:r>
        <w:t xml:space="preserve"> </w:t>
      </w:r>
      <m:oMath>
        <m:r>
          <m:rPr>
            <m:sty m:val="p"/>
          </m:rPr>
          <m:t>=</m:t>
        </m:r>
        <m:r>
          <m:t>3520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Brocoli_green_weeds_1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Brocoli_green_weeds_2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Fallow_rough_plow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Fallow_smooth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Stubble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Grapes_untrained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Soil_vinyard_develop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Corn_senesced_green_weeds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Lettuce_romaine_4wk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Lettuce_romaine_5wk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Lettuce_romaine_6wk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Lettuce_romaine_7wk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Vinyard_untrained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Vinyard_vertical_trellis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Micro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</w:tr>
    </w:tbl>
    <w:bookmarkEnd w:id="28"/>
    <w:bookmarkStart w:id="29" w:name="salinas-a"/>
    <w:p>
      <w:pPr>
        <w:pStyle w:val="Heading2"/>
      </w:pPr>
      <w:r>
        <w:t xml:space="preserve">Salinas-A</w:t>
      </w:r>
    </w:p>
    <w:p>
      <w:pPr>
        <w:pStyle w:val="FirstParagraph"/>
      </w:pPr>
      <w:r>
        <w:t xml:space="preserve">Per-class precision, recall and F1 for the topic-routed-hard classifier under the canonical fit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).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, support</w:t>
      </w:r>
      <w:r>
        <w:t xml:space="preserve"> </w:t>
      </w:r>
      <m:oMath>
        <m:r>
          <m:rPr>
            <m:sty m:val="p"/>
          </m:rPr>
          <m:t>=</m:t>
        </m:r>
        <m:r>
          <m:t>1320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Brocoli_green_weeds_1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Corn_senesced_green_weeds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Lettuce_romaine_4wk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Lettuce_romaine_5wk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Lettuce_romaine_6wk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Lettuce_romaine_7wk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Micro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</w:tr>
    </w:tbl>
    <w:bookmarkEnd w:id="29"/>
    <w:bookmarkStart w:id="30" w:name="pavia-u"/>
    <w:p>
      <w:pPr>
        <w:pStyle w:val="Heading2"/>
      </w:pPr>
      <w:r>
        <w:t xml:space="preserve">Pavia U</w:t>
      </w:r>
    </w:p>
    <w:p>
      <w:pPr>
        <w:pStyle w:val="FirstParagraph"/>
      </w:pPr>
      <w:r>
        <w:t xml:space="preserve">Per-class precision, recall and F1 for the topic-routed-hard classifier under the canonical fit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).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, support</w:t>
      </w:r>
      <w:r>
        <w:t xml:space="preserve"> </w:t>
      </w:r>
      <m:oMath>
        <m:r>
          <m:rPr>
            <m:sty m:val="p"/>
          </m:rPr>
          <m:t>=</m:t>
        </m:r>
        <m:r>
          <m:t>1980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Asphalt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Painted metal sheets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 Soil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Bitumen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Self-Blocking Bricks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Micro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</w:tr>
    </w:tbl>
    <w:bookmarkEnd w:id="30"/>
    <w:bookmarkStart w:id="31" w:name="ksc"/>
    <w:p>
      <w:pPr>
        <w:pStyle w:val="Heading2"/>
      </w:pPr>
      <w:r>
        <w:t xml:space="preserve">KSC</w:t>
      </w:r>
    </w:p>
    <w:p>
      <w:pPr>
        <w:pStyle w:val="FirstParagraph"/>
      </w:pPr>
      <w:r>
        <w:t xml:space="preserve">Per-class precision, recall and F1 for the topic-routed-hard classifier under the canonical fit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).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, support</w:t>
      </w:r>
      <w:r>
        <w:t xml:space="preserve"> </w:t>
      </w:r>
      <m:oMath>
        <m:r>
          <m:rPr>
            <m:sty m:val="p"/>
          </m:rPr>
          <m:t>=</m:t>
        </m:r>
        <m:r>
          <m:t>2686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Willow swamp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 hammock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 pine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Oak/Broadleaf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Graminoid marsh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Spartina marsh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Cattail marsh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 marsh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Mud flats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Micro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</w:tr>
    </w:tbl>
    <w:bookmarkEnd w:id="31"/>
    <w:bookmarkStart w:id="32" w:name="botswana"/>
    <w:p>
      <w:pPr>
        <w:pStyle w:val="Heading2"/>
      </w:pPr>
      <w:r>
        <w:t xml:space="preserve">Botswana</w:t>
      </w:r>
    </w:p>
    <w:p>
      <w:pPr>
        <w:pStyle w:val="FirstParagraph"/>
      </w:pPr>
      <w:r>
        <w:t xml:space="preserve">Per-class precision, recall and F1 for the topic-routed-hard classifier under the canonical fit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).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, support</w:t>
      </w:r>
      <w:r>
        <w:t xml:space="preserve"> </w:t>
      </w:r>
      <m:oMath>
        <m:r>
          <m:rPr>
            <m:sty m:val="p"/>
          </m:rPr>
          <m:t>=</m:t>
        </m:r>
        <m:r>
          <m:t>2775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Hippo grass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Floodplain grasses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Floodplain grasses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Riparian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Island 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Acacia woodlands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Acacia shrublands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Acacia grasslands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mopane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mopane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Exposed soils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Micro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</w:tr>
    </w:tbl>
    <w:bookmarkEnd w:id="32"/>
    <w:bookmarkEnd w:id="33"/>
    <w:bookmarkStart w:id="39" w:name="X03a497aaac531bc1fbcebda28788d7cd900cf8e"/>
    <w:p>
      <w:pPr>
        <w:pStyle w:val="Heading1"/>
      </w:pPr>
      <w:r>
        <w:t xml:space="preserve">Axis F-9: HIDSAG preprocessing stability per subset</w:t>
      </w:r>
    </w:p>
    <w:bookmarkStart w:id="37" w:name="fig:f9-hidsag-prep"/>
    <w:p>
      <w:pPr>
        <w:pStyle w:val="CaptionedFigure"/>
      </w:pPr>
      <w:r>
        <w:drawing>
          <wp:inline>
            <wp:extent cx="5334000" cy="361796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hidsag-preprocessing-stability.pdf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F-9 cross-preprocessing stability on the 5 HIDSAG mineral</w:t>
      </w:r>
      <w:r>
        <w:t xml:space="preserve"> </w:t>
      </w:r>
      <w:r>
        <w:t xml:space="preserve">subsets. Each panel is a 4×4 matched-Jaccard@top-15 heatmap between</w:t>
      </w:r>
      <w:r>
        <w:t xml:space="preserve"> </w:t>
      </w:r>
      <w:r>
        <w:t xml:space="preserve">LDA refits under four preprocessing policies (raw, bad-band mask,</w:t>
      </w:r>
      <w:r>
        <w:t xml:space="preserve"> </w:t>
      </w:r>
      <w:r>
        <w:t xml:space="preserve">bb + SNV, bb + SavGol + SNV). Panel title gives the off-diagonal</w:t>
      </w:r>
      <w:r>
        <w:t xml:space="preserve"> </w:t>
      </w:r>
      <w:r>
        <w:t xml:space="preserve">mean — the formal F-9 metric. MINERAL2 / GEOCHEM / PORPHYRY show</w:t>
      </w:r>
      <w:r>
        <w:t xml:space="preserve"> </w:t>
      </w:r>
      <w:r>
        <w:t xml:space="preserve">high agreement between the two SavGol-flavoured recipes</w:t>
      </w:r>
      <w:r>
        <w:t xml:space="preserve"> </w:t>
      </w:r>
      <w:r>
        <w:t xml:space="preserve">(matched-Jaccard</w:t>
      </w:r>
      <w:r>
        <w:t xml:space="preserve"> </w:t>
      </w:r>
      <m:oMath>
        <m:r>
          <m:rPr>
            <m:sty m:val="p"/>
          </m:rPr>
          <m:t>≥</m:t>
        </m:r>
        <m:r>
          <m:t>0.90</m:t>
        </m:r>
      </m:oMath>
      <w:r>
        <w:t xml:space="preserve"> </w:t>
      </w:r>
      <w:r>
        <w:t xml:space="preserve">on the bottom-right</w:t>
      </w:r>
      <w:r>
        <w:t xml:space="preserve"> </w:t>
      </w:r>
      <m:oMath>
        <m:r>
          <m:t>2</m:t>
        </m:r>
        <m:r>
          <m:t>​</m:t>
        </m:r>
        <m:r>
          <m:rPr>
            <m:sty m:val="p"/>
          </m:rPr>
          <m:t>×</m:t>
        </m:r>
        <m:r>
          <m:t>​</m:t>
        </m:r>
        <m:r>
          <m:t>2</m:t>
        </m:r>
      </m:oMath>
      <w:r>
        <w:t xml:space="preserve"> </w:t>
      </w:r>
      <w:r>
        <w:t xml:space="preserve">block)</w:t>
      </w:r>
      <w:r>
        <w:t xml:space="preserve"> </w:t>
      </w:r>
      <w:r>
        <w:t xml:space="preserve">but near-zero agreement against the raw baseline.</w:t>
      </w:r>
    </w:p>
    <w:bookmarkEnd w:id="37"/>
    <w:bookmarkStart w:id="38" w:name="tab:f9"/>
    <w:p>
      <w:pPr>
        <w:pStyle w:val="TableCaption"/>
      </w:pPr>
      <w:r>
        <w:t xml:space="preserve">F-9 off-diagonal mean per HIDSAG subset, read from</w:t>
      </w:r>
      <w:r>
        <w:t xml:space="preserve"> </w:t>
      </w:r>
      <w:r>
        <w:rPr>
          <w:rStyle w:val="VerbatimChar"/>
        </w:rPr>
        <w:t xml:space="preserve">hidsag_cross_preprocessing_stability/&lt;subset&gt;.json</w:t>
      </w:r>
      <w:r>
        <w:t xml:space="preserve"> </w:t>
      </w:r>
      <w:r>
        <w:t xml:space="preserve">field</w:t>
      </w:r>
      <w:r>
        <w:t xml:space="preserve"> </w:t>
      </w:r>
      <w:r>
        <w:rPr>
          <w:rStyle w:val="VerbatimChar"/>
        </w:rPr>
        <w:t xml:space="preserve">off_diagonal_summary.off_diagonal_mean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-9 off-diagonal mean per HIDSAG subset, read from hidsag_cross_preprocessing_stability/&lt;subset&gt;.json field off_diagonal_summary.off_diagonal_mea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off-diag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MINERAL1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MINERAL2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GEOCHEM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PORPHYRY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</w:tbl>
    <w:bookmarkEnd w:id="38"/>
    <w:bookmarkEnd w:id="39"/>
    <w:bookmarkStart w:id="44" w:name="axis-f-10-cross-scene-topic-transfer"/>
    <w:p>
      <w:pPr>
        <w:pStyle w:val="Heading1"/>
      </w:pPr>
      <w:r>
        <w:t xml:space="preserve">Axis F-10: cross-scene topic transfer</w:t>
      </w:r>
    </w:p>
    <w:bookmarkStart w:id="43" w:name="fig:f10-transfer"/>
    <w:p>
      <w:pPr>
        <w:pStyle w:val="CaptionedFigure"/>
      </w:pPr>
      <w:r>
        <w:drawing>
          <wp:inline>
            <wp:extent cx="5334000" cy="420885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ross-scene-transfer.pdf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F-10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macro-F1 cross-scene transfer matrix. Rows</w:t>
      </w:r>
      <w:r>
        <w:t xml:space="preserve"> </w:t>
      </w:r>
      <w:r>
        <w:t xml:space="preserve">= source scene where the topic basis is trained; columns = target</w:t>
      </w:r>
      <w:r>
        <w:t xml:space="preserve"> </w:t>
      </w:r>
      <w:r>
        <w:t xml:space="preserve">scene where a linear head is refit. Diagonal cells (in-distribution</w:t>
      </w:r>
      <w:r>
        <w:t xml:space="preserve"> </w:t>
      </w:r>
      <w:r>
        <w:t xml:space="preserve">baselines) are outlined in white. Pavia U is omitted because the</w:t>
      </w:r>
      <w:r>
        <w:t xml:space="preserve"> </w:t>
      </w:r>
      <w:r>
        <w:t xml:space="preserve">ROSIS 430–860 nm band range does not intersect cleanly with the</w:t>
      </w:r>
      <w:r>
        <w:t xml:space="preserve"> </w:t>
      </w:r>
      <w:r>
        <w:t xml:space="preserve">SWIR-spanning AVIRIS / Hyperion scenes’ canonical grid.</w:t>
      </w:r>
    </w:p>
    <w:bookmarkEnd w:id="43"/>
    <w:p>
      <w:pPr>
        <w:pStyle w:val="BodyText"/>
      </w:pPr>
      <w:r>
        <w:t xml:space="preserve">Salinas-A is the easiest target column (macro-F1</w:t>
      </w:r>
      <w:r>
        <w:t xml:space="preserve"> </w:t>
      </w:r>
      <m:oMath>
        <m:r>
          <m:t>0.65</m:t>
        </m:r>
      </m:oMath>
      <w:r>
        <w:t xml:space="preserve">–</w:t>
      </w:r>
      <m:oMath>
        <m:r>
          <m:t>0.75</m:t>
        </m:r>
      </m:oMath>
      <w:r>
        <w:t xml:space="preserve"> </w:t>
      </w:r>
      <w:r>
        <w:t xml:space="preserve">from every source). KSC and Botswana are the hardest targets</w:t>
      </w:r>
      <w:r>
        <w:t xml:space="preserve"> </w:t>
      </w:r>
      <w:r>
        <w:t xml:space="preserve">(column means</w:t>
      </w:r>
      <w:r>
        <w:t xml:space="preserve"> </w:t>
      </w:r>
      <m:oMath>
        <m:r>
          <m:t>0.39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0.45</m:t>
        </m:r>
      </m:oMath>
      <w:r>
        <w:t xml:space="preserve">). This complements the F-5</w:t>
      </w:r>
      <w:r>
        <w:t xml:space="preserve"> </w:t>
      </w:r>
      <w:r>
        <w:t xml:space="preserve">band-mask diagnostic: scenes whose canonical topics are</w:t>
      </w:r>
      <w:r>
        <w:t xml:space="preserve"> </w:t>
      </w:r>
      <w:r>
        <w:t xml:space="preserve">band-fragile are also harder cross-scene transfer targets.</w:t>
      </w:r>
    </w:p>
    <w:bookmarkEnd w:id="44"/>
    <w:bookmarkStart w:id="49" w:name="axis-f-11-ratedistortion"/>
    <w:p>
      <w:pPr>
        <w:pStyle w:val="Heading1"/>
      </w:pPr>
      <w:r>
        <w:t xml:space="preserve">Axis F-11: rate–distortion</w:t>
      </w:r>
    </w:p>
    <w:bookmarkStart w:id="48" w:name="fig:f11-rd"/>
    <w:p>
      <w:pPr>
        <w:pStyle w:val="CaptionedFigure"/>
      </w:pPr>
      <w:r>
        <w:drawing>
          <wp:inline>
            <wp:extent cx="5334000" cy="334988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rate-distortion.pdf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9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F-11 rate–distortion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for LDA / NMF / PCA per</w:t>
      </w:r>
      <w:r>
        <w:t xml:space="preserve"> </w:t>
      </w:r>
      <w:r>
        <w:t xml:space="preserve">scene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. X-axis: rate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bits. Y-axis: normalised held-out RMSE of the</w:t>
      </w:r>
      <w:r>
        <w:t xml:space="preserve"> </w:t>
      </w:r>
      <w:r>
        <w:t xml:space="preserve">reconstruction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sSup>
          <m:e>
            <m:r>
              <m:t>ϕ</m:t>
            </m:r>
          </m:e>
          <m:sup>
            <m:r>
              <m:rPr>
                <m:sty m:val="p"/>
              </m:rPr>
              <m:t>⊤</m:t>
            </m:r>
          </m:sup>
        </m:sSup>
        <m:r>
          <m:t>θ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quantised band-frequency space. Tokenisation-loss caveat applies</w:t>
      </w:r>
      <w:r>
        <w:t xml:space="preserve"> </w:t>
      </w:r>
      <w:r>
        <w:t xml:space="preserve">(the curves mix a quantisation component with the topic-basis</w:t>
      </w:r>
      <w:r>
        <w:t xml:space="preserve"> </w:t>
      </w:r>
      <w:r>
        <w:t xml:space="preserve">reconstruction error); see Suppl G §Reporting choices.</w:t>
      </w:r>
    </w:p>
    <w:bookmarkEnd w:id="48"/>
    <w:bookmarkEnd w:id="49"/>
    <w:bookmarkStart w:id="54" w:name="X5ae1f51ff6774f2a95931ffde85d78c24978a9c"/>
    <w:p>
      <w:pPr>
        <w:pStyle w:val="Heading1"/>
      </w:pPr>
      <w:r>
        <w:t xml:space="preserve">Companion: deep-encoder seed stability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</w:p>
    <w:bookmarkStart w:id="53" w:name="fig:n30-deep"/>
    <w:p>
      <w:pPr>
        <w:pStyle w:val="CaptionedFigure"/>
      </w:pPr>
      <w:r>
        <w:drawing>
          <wp:inline>
            <wp:extent cx="5334000" cy="334988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eep-seed-stability-n30.pd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9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Deep-encoder seed-stability swarm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seeds per</w:t>
      </w:r>
      <w:r>
        <w:t xml:space="preserve"> </w:t>
      </w:r>
      <w:r>
        <w:t xml:space="preserve">(scene, method). Per-seed ARI dots (jittered) with horizontal mean</w:t>
      </w:r>
      <w:r>
        <w:t xml:space="preserve"> </w:t>
      </w:r>
      <w:r>
        <w:t xml:space="preserve">bars and standard-error bars. Complements the F-3 N=5</w:t>
      </w:r>
      <w:r>
        <w:t xml:space="preserve"> </w:t>
      </w:r>
      <w:r>
        <w:t xml:space="preserve">ProdLDA/ETM swarm in the main paper Figure 4. Notable patterns:</w:t>
      </w:r>
      <w:r>
        <w:t xml:space="preserve"> </w:t>
      </w:r>
      <m:oMath>
        <m:r>
          <m:t>β</m:t>
        </m:r>
      </m:oMath>
      <w:r>
        <w:t xml:space="preserve">-VAE on Salinas-A reaches mean ARI</w:t>
      </w:r>
      <w:r>
        <w:t xml:space="preserve"> </w:t>
      </w:r>
      <m:oMath>
        <m:r>
          <m:rPr>
            <m:sty m:val="p"/>
          </m:rPr>
          <m:t>≈</m:t>
        </m:r>
        <m:r>
          <m:t>0.55</m:t>
        </m:r>
      </m:oMath>
      <w:r>
        <w:t xml:space="preserve"> </w:t>
      </w:r>
      <w:r>
        <w:t xml:space="preserve">but with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0.10</m:t>
        </m:r>
      </m:oMath>
      <w:r>
        <w:t xml:space="preserve"> </w:t>
      </w:r>
      <w:r>
        <w:t xml:space="preserve">across 30 seeds; CAE-3D dominates on Pavia U.</w:t>
      </w:r>
    </w:p>
    <w:bookmarkEnd w:id="53"/>
    <w:bookmarkEnd w:id="54"/>
    <w:bookmarkStart w:id="55" w:name="axis-f-12-external-baseline-deltas"/>
    <w:p>
      <w:pPr>
        <w:pStyle w:val="Heading1"/>
      </w:pPr>
      <w:r>
        <w:t xml:space="preserve">Axis F-12: external baseline deltas</w:t>
      </w:r>
    </w:p>
    <w:p>
      <w:pPr>
        <w:pStyle w:val="DefinitionTerm"/>
      </w:pPr>
      <w:r>
        <w:t xml:space="preserve">Status note (2026-05-15).</w:t>
      </w:r>
    </w:p>
    <w:p>
      <w:pPr>
        <w:pStyle w:val="Definition"/>
      </w:pPr>
      <w:r>
        <w:t xml:space="preserve">Axis F-12 is the cross-paper OA</w:t>
      </w:r>
      <w:r>
        <w:t xml:space="preserve"> </w:t>
      </w:r>
      <w:r>
        <w:t xml:space="preserve">delta against published baselines on each labelled scene. Per the</w:t>
      </w:r>
      <w:r>
        <w:t xml:space="preserve"> </w:t>
      </w:r>
      <w:r>
        <w:t xml:space="preserve">candor caveat documented in journal Suppl G §Reporting choices,</w:t>
      </w:r>
      <w:r>
        <w:t xml:space="preserve"> </w:t>
      </w:r>
      <w:r>
        <w:t xml:space="preserve">the per-paper train/test splits are not always comparable across</w:t>
      </w:r>
      <w:r>
        <w:t xml:space="preserve"> </w:t>
      </w:r>
      <w:r>
        <w:t xml:space="preserve">the literature, so a single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</m:e>
          <m:sub>
            <m:r>
              <m:t>s</m:t>
            </m:r>
          </m:sub>
          <m:sup>
            <m:r>
              <m:rPr>
                <m:nor/>
                <m:sty m:val="p"/>
              </m:rPr>
              <m:t>this work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ref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scalar can be misleading.</w:t>
      </w:r>
      <w:r>
        <w:t xml:space="preserve"> </w:t>
      </w:r>
      <w:r>
        <w:rPr>
          <w:b/>
          <w:bCs/>
        </w:rPr>
        <w:t xml:space="preserve">We deliberately defer the F-12 table to a verification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appendix paired with the journal submission cover letter,</w:t>
      </w:r>
      <w:r>
        <w:t xml:space="preserve"> </w:t>
      </w:r>
      <w:r>
        <w:t xml:space="preserve">where</w:t>
      </w:r>
      <w:r>
        <w:t xml:space="preserve"> </w:t>
      </w:r>
      <w:r>
        <w:t xml:space="preserve">each reference’s per-paper split (train fraction, fold count,</w:t>
      </w:r>
      <w:r>
        <w:t xml:space="preserve"> </w:t>
      </w:r>
      <w:r>
        <w:t xml:space="preserve">augmentation policy) can be reported alongside the OA delta.</w:t>
      </w:r>
      <w:r>
        <w:t xml:space="preserve"> </w:t>
      </w:r>
      <w:r>
        <w:t xml:space="preserve">The deferred-table approach is preferable to populating cells with</w:t>
      </w:r>
      <w:r>
        <w:t xml:space="preserve"> </w:t>
      </w:r>
      <w:r>
        <w:t xml:space="preserve">numbers under split conditions that the reader cannot inspect, and</w:t>
      </w:r>
      <w:r>
        <w:t xml:space="preserve"> </w:t>
      </w:r>
      <w:r>
        <w:t xml:space="preserve">also gives reviewers a concrete versionable target for the</w:t>
      </w:r>
      <w:r>
        <w:t xml:space="preserve"> </w:t>
      </w:r>
      <w:r>
        <w:t xml:space="preserve">verification appendix. The framework’s F-12</w:t>
      </w:r>
      <w:r>
        <w:t xml:space="preserve"> </w:t>
      </w:r>
      <w:r>
        <w:rPr>
          <w:i/>
          <w:iCs/>
        </w:rPr>
        <w:t xml:space="preserve">definition</w:t>
      </w:r>
      <w:r>
        <w:t xml:space="preserve"> </w:t>
      </w:r>
      <w:r>
        <w:t xml:space="preserve">is</w:t>
      </w:r>
      <w:r>
        <w:t xml:space="preserve"> </w:t>
      </w:r>
      <w:r>
        <w:t xml:space="preserve">unchanged; only the per-scene table is deferred. See journal</w:t>
      </w:r>
      <w:r>
        <w:t xml:space="preserve"> </w:t>
      </w:r>
      <w:r>
        <w:t xml:space="preserve">Section </w:t>
      </w:r>
      <w:hyperlink w:anchor="subsec:b12">
        <w:r>
          <w:rPr>
            <w:rStyle w:val="Hyperlink"/>
          </w:rPr>
          <w:t xml:space="preserve">[subsec:b12]</w:t>
        </w:r>
      </w:hyperlink>
      <w:r>
        <w:t xml:space="preserve"> </w:t>
      </w:r>
      <w:r>
        <w:t xml:space="preserve">in the main paper for the F-12 axis</w:t>
      </w:r>
      <w:r>
        <w:t xml:space="preserve"> </w:t>
      </w:r>
      <w:r>
        <w:t xml:space="preserve">description (it remains part of the framework’s twelve-axis</w:t>
      </w:r>
      <w:r>
        <w:t xml:space="preserve"> </w:t>
      </w:r>
      <w:r>
        <w:t xml:space="preserve">declaration).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df" /><Relationship Type="http://schemas.openxmlformats.org/officeDocument/2006/relationships/image" Id="rId50" Target="media/rId50.pdf" /><Relationship Type="http://schemas.openxmlformats.org/officeDocument/2006/relationships/image" Id="rId34" Target="media/rId34.pdf" /><Relationship Type="http://schemas.openxmlformats.org/officeDocument/2006/relationships/image" Id="rId45" Target="media/rId45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Supplementary F — Extended per-axis results Companion to: Beyond Accuracy (Section VI)</dc:title>
  <dc:creator>Felipe Santibáñez-Leal</dc:creator>
  <cp:keywords/>
  <dcterms:created xsi:type="dcterms:W3CDTF">2026-05-18T18:31:14Z</dcterms:created>
  <dcterms:modified xsi:type="dcterms:W3CDTF">2026-05-18T18:31:14Z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../../bibliography/refs.bib</vt:lpwstr>
  </property>
  <property fmtid="{D5CDD505-2E9C-101B-9397-08002B2CF9AE}" pid="3" name="date">
    <vt:lpwstr>2026</vt:lpwstr>
  </property>
</Properties>
</file>