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df" ContentType="application/pdf"/>
  <Override PartName="/word/media/rId23.pdf" ContentType="application/pdf"/>
  <Override PartName="/word/media/rId39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Which Backbone Picks Which Wordification? A Factorial Study of</w:t>
      </w:r>
      <w:r>
        <w:t xml:space="preserve"> </w:t>
      </w:r>
      <w:r>
        <w:t xml:space="preserve">Topic-Model Families on Hyperspectral Imagery</w:t>
      </w:r>
    </w:p>
    <w:p>
      <w:pPr>
        <w:pStyle w:val="Author"/>
      </w:pPr>
      <w:r>
        <w:t xml:space="preserve">Felipe Santibáñez-Leal , 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2"/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ϕ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  <m:r>
                          <m:t>n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bi"/>
                  </m:rPr>
                  <m:t>β</m:t>
                </m:r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r>
                  <m:t>γ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π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bi"/>
                  </m:rP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π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ϕ</m:t>
                    </m:r>
                  </m:e>
                  <m: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  <m:r>
                          <m:t>n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 global atom weights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′</m:t>
            </m:r>
          </m:sup>
        </m:sSubSup>
        <m:nary>
          <m:naryPr>
            <m:chr m:val="∏"/>
            <m:limLoc m:val="undOvr"/>
            <m:subHide m:val="off"/>
            <m:supHide m:val="on"/>
          </m:naryPr>
          <m:sub>
            <m:r>
              <m:t>l</m:t>
            </m:r>
            <m:r>
              <m:rPr>
                <m:sty m:val="p"/>
              </m:rPr>
              <m:t>&lt;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Sup>
          <m:e>
            <m:r>
              <m:t>β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cr m:val="script"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ω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 the unnormalised topic–word logits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form</w:t>
      </w:r>
      <w:r>
        <w:t xml:space="preserve"> </w:t>
      </w:r>
      <w:r>
        <w:t xml:space="preserve">a free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matrix and inference is amortised,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. ProdLDA as published mixes the</w:t>
      </w:r>
      <w:r>
        <w:t xml:space="preserve"> </w:t>
      </w:r>
      <w:r>
        <w:t xml:space="preserve">logits instead,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(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  <m:r>
                      <m:t>k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ω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(a product of experts), with a Laplace approximation to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as the prior; that form was not run.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cr m:val="script"/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δ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β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x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ρ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t> 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 word embeddings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and topic</w:t>
      </w:r>
      <w:r>
        <w:t xml:space="preserve"> </w:t>
      </w:r>
      <w:r>
        <w:t xml:space="preserve">embeddings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), and the same amortised</w:t>
      </w:r>
      <w:r>
        <w:t xml:space="preserve"> </w:t>
      </w:r>
      <w:r>
        <w:t xml:space="preserve">encoder as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d</m:t>
                    </m:r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t>b</m:t>
                        </m:r>
                      </m:lim>
                    </m:limLow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b</m:t>
                        </m:r>
                      </m:lim>
                    </m:limLow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limLow>
                      <m:e>
                        <m:r>
                          <m:rPr>
                            <m:sty m:val="p"/>
                          </m:rPr>
                          <m:t>min</m:t>
                        </m:r>
                      </m:e>
                      <m:lim>
                        <m:r>
                          <m:t>b</m:t>
                        </m:r>
                      </m:lim>
                    </m:limLow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q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⌊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⌋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1</m:t>
              </m:r>
            </m:sup>
          </m:sSubSup>
          <m:r>
            <m:rPr>
              <m:sty m:val="p"/>
            </m:rPr>
            <m:t>[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3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B</m:t>
          </m:r>
          <m:r>
            <m:t> 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p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lim>
                </m:limLow>
                <m:r>
                  <m:t> </m:t>
                </m:r>
                <m:sSubSup>
                  <m:e>
                    <m:d>
                      <m:dPr>
                        <m:begChr m:val="‖"/>
                        <m:sepChr m:val=""/>
                        <m:endChr m:val="‖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E</m:t>
                        </m:r>
                        <m:r>
                          <m:t> </m:t>
                        </m:r>
                        <m:r>
                          <m:t>a</m:t>
                        </m:r>
                      </m:e>
                    </m:d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8</m:t>
                    </m:r>
                  </m:sup>
                </m:sSubSup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Q</m:t>
                        </m:r>
                        <m:r>
                          <m:t> 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  <m:r>
                                  <m:t>m</m:t>
                                </m:r>
                              </m:sub>
                            </m:sSub>
                          </m:num>
                          <m:den>
                            <m:limLow>
                              <m:e>
                                <m:r>
                                  <m:rPr>
                                    <m:sty m:val="p"/>
                                  </m:rPr>
                                  <m:t>max</m:t>
                                </m:r>
                              </m:e>
                              <m:lim>
                                <m:sSup>
                                  <m:e>
                                    <m: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</m:lim>
                            </m:limLow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d</m:t>
                                </m:r>
                                <m:sSup>
                                  <m:e>
                                    <m: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′</m:t>
                                    </m:r>
                                  </m:sup>
                                </m:sSup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are the NFINDR endmembers (simplex vertices),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the unnormalised spectrum 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M</m:t>
        </m:r>
      </m:oMath>
      <w:r>
        <w:t xml:space="preserve">. The abundance</w:t>
      </w:r>
      <w:r>
        <w:t xml:space="preserve"> </w:t>
      </w:r>
      <w:r>
        <w:t xml:space="preserve">non-negativity (ANC,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) and sum-to-one (ASC,</w:t>
      </w:r>
      <w:r>
        <w:t xml:space="preserve"> </w:t>
      </w:r>
      <m:oMath>
        <m:sSup>
          <m:e>
            <m:r>
              <m:rPr>
                <m:sty m:val="b"/>
              </m:rPr>
              <m:t>1</m:t>
            </m:r>
          </m:e>
          <m:sup>
            <m:r>
              <m:rPr>
                <m:sty m:val="p"/>
              </m:rPr>
              <m:t>⊤</m:t>
            </m:r>
          </m:sup>
        </m:sSup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constraints make</w:t>
      </w:r>
      <w:r>
        <w:t xml:space="preserve"> </w:t>
      </w:r>
      <m:oMath>
        <m:sSub>
          <m:e>
            <m:r>
              <m:t>a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a point on the simplex spanned by the endmembers</w:t>
      </w:r>
      <w:r>
        <w:t xml:space="preserve"> </w:t>
      </w:r>
      <w:r>
        <w:t xml:space="preserve">(fully-constrained least squares, FCLS; implemented as</w:t>
      </w:r>
      <w:r>
        <w:t xml:space="preserve"> </w:t>
      </w:r>
      <m:oMath>
        <m:r>
          <m:t>δ</m:t>
        </m:r>
      </m:oMath>
      <w:r>
        <w:t xml:space="preserve">-augmented NNLS followed by renormalisation), so the coefficients</w:t>
      </w:r>
      <w:r>
        <w:t xml:space="preserve"> </w:t>
      </w:r>
      <w:r>
        <w:t xml:space="preserve">are proper abundance fractions over the convex hull. The dominant</w:t>
      </w:r>
      <w:r>
        <w:t xml:space="preserve"> </w:t>
      </w:r>
      <w:r>
        <w:t xml:space="preserve">endmember of every pixel emits</w:t>
      </w:r>
      <w:r>
        <w:t xml:space="preserve"> </w:t>
      </w:r>
      <m:oMath>
        <m:r>
          <m:t>Q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tokens, so the document length</w:t>
      </w:r>
      <w:r>
        <w:t xml:space="preserve"> </w:t>
      </w:r>
      <w:r>
        <w:t xml:space="preserve">grows with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lim>
                </m:limLow>
                <m:r>
                  <m:t> </m:t>
                </m:r>
                <m:sSub>
                  <m:e>
                    <m:r>
                      <m:t>π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r>
                  <m:rPr>
                    <m:scr m:val="script"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12</m:t>
                    </m:r>
                  </m:sup>
                </m:sSubSup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1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12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 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k</m:t>
            </m:r>
          </m:sub>
          <m:sup>
            <m:r>
              <m:t>2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&lt;</m:t>
            </m:r>
            <m:r>
              <m:t>Q</m:t>
            </m:r>
          </m:sub>
        </m:sSub>
      </m:oMath>
      <w:r>
        <w:t xml:space="preserve"> </w:t>
      </w:r>
      <w:r>
        <w:t xml:space="preserve">is a one-dimensional Gaussian</w:t>
      </w:r>
      <w:r>
        <w:t xml:space="preserve"> </w:t>
      </w:r>
      <w:r>
        <w:t xml:space="preserve">mixture fitted once per scene to the unnormalised band intensities of the</w:t>
      </w:r>
      <w:r>
        <w:t xml:space="preserve"> </w:t>
      </w:r>
      <w:r>
        <w:t xml:space="preserve">sampled pixels (a random subset of 50 000 values), with the components</w:t>
      </w:r>
      <w:r>
        <w:t xml:space="preserve"> </w:t>
      </w:r>
      <w:r>
        <w:t xml:space="preserve">indexed in increasing order of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. Each band emits one token, as in</w:t>
      </w:r>
      <w:r>
        <w:t xml:space="preserve"> </w:t>
      </w:r>
      <w:r>
        <w:t xml:space="preserve">V3, but the bins are shared by all pixels and follow the intensity</w:t>
      </w:r>
      <w:r>
        <w:t xml:space="preserve"> </w:t>
      </w:r>
      <w:r>
        <w:t xml:space="preserve">distribution instead of splitting each spectrum’s own range into equal</w:t>
      </w:r>
      <w:r>
        <w:t xml:space="preserve"> </w:t>
      </w:r>
      <w:r>
        <w:t xml:space="preserve">intervals.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⌊"/>
                    <m:sepChr m:val=""/>
                    <m:endChr m:val="⌉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limLow>
                          <m:e>
                            <m:r>
                              <m:rPr>
                                <m:sty m:val="p"/>
                              </m:rPr>
                              <m:t>max</m:t>
                            </m:r>
                          </m:e>
                          <m:lim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lim>
                        </m:limLow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⋅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 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20</m:t>
                    </m:r>
                  </m:sup>
                </m:sSubSup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r>
                  <m:t> </m:t>
                </m:r>
                <m:r>
                  <m:rPr>
                    <m:scr m:val="double-struck"/>
                    <m:sty m:val="p"/>
                  </m:rPr>
                  <m:t>1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 token alphabet is V3’s,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20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B</m:t>
        </m:r>
        <m:r>
          <m:t> </m:t>
        </m:r>
        <m:r>
          <m:t>Q</m:t>
        </m:r>
      </m:oMath>
      <w:r>
        <w:t xml:space="preserve"> </w:t>
      </w:r>
      <w:r>
        <w:t xml:space="preserve">(=1600 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; mean</w:t>
      </w:r>
      <w:r>
        <w:t xml:space="preserve"> </w:t>
      </w:r>
      <m:oMath>
        <m:r>
          <m:rPr>
            <m:sty m:val="p"/>
          </m:rPr>
          <m:t>≈</m:t>
        </m:r>
        <m:r>
          <m:t>1376</m:t>
        </m:r>
      </m:oMath>
      <w:r>
        <w:t xml:space="preserve"> </w:t>
      </w:r>
      <w:r>
        <w:t xml:space="preserve">across the six labelled scenes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varies). Bands with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emit nothing, so the</w:t>
      </w:r>
      <w:r>
        <w:t xml:space="preserve"> </w:t>
      </w:r>
      <w:r>
        <w:rPr>
          <w:i/>
          <w:iCs/>
        </w:rPr>
        <w:t xml:space="preserve">effective</w:t>
      </w:r>
      <w:r>
        <w:t xml:space="preserve"> </w:t>
      </w:r>
      <w:r>
        <w:t xml:space="preserve">(non-empty-column) vocabulary is smaller still (</w:t>
      </w:r>
      <m:oMath>
        <m:r>
          <m:rPr>
            <m:sty m:val="p"/>
          </m:rPr>
          <m:t>≈</m:t>
        </m:r>
        <m:r>
          <m:t>770</m:t>
        </m:r>
      </m:oMath>
      <w:r>
        <w:t xml:space="preserve"> </w:t>
      </w:r>
      <w:r>
        <w:t xml:space="preserve">mean).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w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log</m:t>
                    </m:r>
                    <m:f>
                      <m:fPr>
                        <m:type m:val="bar"/>
                      </m:fPr>
                      <m:nu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ϵ</m:t>
                        </m:r>
                      </m:num>
                      <m:den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log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ϵ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cos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i"/>
                          </m:rP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v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)</m:t>
            </m:r>
          </m:e>
          <m:sub>
            <m:r>
              <m:t>ℓ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over the</w:t>
      </w:r>
      <w:r>
        <w:t xml:space="preserve"> </w:t>
      </w:r>
      <w:r>
        <w:t xml:space="preserve">top-</w:t>
      </w:r>
      <m:oMath>
        <m:r>
          <m:t>N</m:t>
        </m:r>
      </m:oMath>
      <w:r>
        <w:t xml:space="preserve"> </w:t>
      </w:r>
      <w:r>
        <w:t xml:space="preserve">topic words.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k</m:t>
                    </m:r>
                  </m:lim>
                </m:limLow>
                <m:sSub>
                  <m:e>
                    <m:r>
                      <m:t>θ</m:t>
                    </m:r>
                  </m:e>
                  <m:sub>
                    <m:r>
                      <m:t>d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sty m:val="p"/>
                  </m:rPr>
                  <m:t>F</m:t>
                </m:r>
                <m:r>
                  <m:rPr>
                    <m:nor/>
                    <m:sty m:val="p"/>
                  </m:rPr>
                  <m:t>-</m:t>
                </m:r>
                <m:r>
                  <m:rPr>
                    <m:sty m:val="p"/>
                  </m:rPr>
                  <m:t>7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U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̂"/>
                      </m:accPr>
                      <m:e>
                        <m:r>
                          <m:t>Z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14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∩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|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top-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18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S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σ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fraktur"/>
                      <m:sty m:val="p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over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reseeded refits, with</w:t>
      </w:r>
      <w:r>
        <w:t xml:space="preserve"> </w:t>
      </w:r>
      <m:oMath>
        <m:sSubSup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the top-</w:t>
      </w:r>
      <m:oMath>
        <m:r>
          <m:t>N</m:t>
        </m:r>
      </m:oMath>
      <w:r>
        <w:t xml:space="preserve"> </w:t>
      </w:r>
      <w:r>
        <w:t xml:space="preserve">indicator</w:t>
      </w:r>
      <w:r>
        <w:t xml:space="preserve"> </w:t>
      </w:r>
      <w:r>
        <w:t xml:space="preserve">vector of topic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run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22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δ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|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|</m:t>
                      </m:r>
                    </m:sup>
                  </m:sSup>
                </m:lim>
              </m:limLow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t>δ</m:t>
                      </m:r>
                    </m:e>
                  </m:d>
                </m:e>
                <m:sub>
                  <m:r>
                    <m:t>1</m:t>
                  </m:r>
                </m:sub>
              </m:sSub>
              <m:r>
                <m:t> </m:t>
              </m:r>
              <m:r>
                <m:t> </m:t>
              </m:r>
              <m:r>
                <m:rPr>
                  <m:nor/>
                  <m:sty m:val="p"/>
                </m:rPr>
                <m:t>s.t.</m:t>
              </m:r>
            </m:e>
            <m:e>
              <m:r>
                <m:t>&amp;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reported as the per-scene median, capped at a sentinel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_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when no flip is found.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τ</m:t>
              </m:r>
            </m:e>
            <m:e>
              <m:r>
                <m:t>&amp;</m:t>
              </m:r>
              <m:r>
                <m:t>  </m:t>
              </m:r>
              <m:r>
                <m:t> </m:t>
              </m:r>
              <m:r>
                <m:rPr>
                  <m:sty m:val="p"/>
                </m:rPr>
                <m:t>∨</m:t>
              </m:r>
              <m:r>
                <m:t> 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sSub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ϕ</m:t>
                  </m:r>
                </m:e>
                <m: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  <m:r>
                <m:t> 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t> </m:t>
                  </m:r>
                  <m:r>
                    <m:rPr>
                      <m:sty m:val="p"/>
                    </m:rPr>
                    <m:t>∨</m:t>
                  </m:r>
                  <m:r>
                    <m:t> 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F</m:t>
              </m:r>
              <m:r>
                <m:rPr>
                  <m:nor/>
                  <m:sty m:val="p"/>
                </m:rPr>
                <m:t>-</m:t>
              </m:r>
              <m:r>
                <m:rPr>
                  <m:sty m:val="p"/>
                </m:rPr>
                <m:t>15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</m:e>
              </m:nary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n</m:t>
                        </m:r>
                      </m:e>
                      <m:sub>
                        <m:r>
                          <m:t>d</m:t>
                        </m:r>
                        <m:r>
                          <m:t>v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sSup>
                          <m:e>
                            <m:r>
                              <m:t>v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d</m:t>
                            </m:r>
                            <m:sSup>
                              <m:e>
                                <m:r>
                                  <m:t>v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v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v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  <m:r>
                          <m:t>v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counts the tokens that effectively carry the mass of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(or of a topic’s</w:t>
      </w:r>
      <w:r>
        <w:t xml:space="preserve"> </w:t>
      </w:r>
      <m:oMath>
        <m:sSub>
          <m:e>
            <m:r>
              <m:t>ϕ</m:t>
            </m:r>
          </m:e>
          <m:sub>
            <m:r>
              <m:t>k</m:t>
            </m:r>
          </m:sub>
        </m:sSub>
      </m:oMath>
      <w:r>
        <w:t xml:space="preserve">): it is low when the mass is concentrated</w:t>
      </w:r>
      <w:r>
        <w:t xml:space="preserve"> </w:t>
      </w:r>
      <w:r>
        <w:t xml:space="preserve">on few tokens and at most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</m:lim>
                  </m:limLow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j</m:t>
                      </m:r>
                    </m:lim>
                  </m:limLow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</m:lim>
                  </m:limLow>
                  <m:sSubSup>
                    <m:e>
                      <m:r>
                        <m:t>c</m:t>
                      </m:r>
                    </m:e>
                    <m:sub>
                      <m: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  <m:r>
            <m:t> 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averaged over backbones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L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H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L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when a recipe sits near the per-backbone top everywhere.</w:t>
      </w:r>
    </w:p>
    <w:bookmarkStart w:id="16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companion papers P1 </w:t>
      </w:r>
      <w:r>
        <w:t xml:space="preserve">(Santibáñez-Leal 2026a)</w:t>
      </w:r>
      <w:r>
        <w:t xml:space="preserve"> </w:t>
      </w:r>
      <w:r>
        <w:t xml:space="preserve">and</w:t>
      </w:r>
      <w:r>
        <w:t xml:space="preserve"> </w:t>
      </w:r>
      <w:r>
        <w:t xml:space="preserve">P3 </w:t>
      </w:r>
      <w:r>
        <w:t xml:space="preserve">(Santibáñez-Leal 2026b)</w:t>
      </w:r>
      <w:r>
        <w:t xml:space="preserve"> </w:t>
      </w:r>
      <w:r>
        <w:t xml:space="preserve">hold the topic</w:t>
      </w:r>
      <w:r>
        <w:t xml:space="preserve"> </w:t>
      </w:r>
      <w:r>
        <w:t xml:space="preserve">model backbone fixed (online-VB LDA) while varying the</w:t>
      </w:r>
      <w:r>
        <w:t xml:space="preserve"> </w:t>
      </w:r>
      <w:r>
        <w:rPr>
          <w:i/>
          <w:iCs/>
        </w:rPr>
        <w:t xml:space="preserve">wordification recipe</w:t>
      </w:r>
      <w:r>
        <w:t xml:space="preserve"> </w:t>
      </w:r>
      <w:r>
        <w:t xml:space="preserve">that converts a pixel spectrum into a</w:t>
      </w:r>
      <w:r>
        <w:t xml:space="preserve"> </w:t>
      </w:r>
      <w:r>
        <w:t xml:space="preserve">multiset of LDA-consumable tokens. P3 shows that the recipe matters</w:t>
      </w:r>
      <w:r>
        <w:t xml:space="preserve"> </w:t>
      </w:r>
      <w:r>
        <w:t xml:space="preserve">on every axis it reports from the twelve-axis evaluation framework</w:t>
      </w:r>
      <w:r>
        <w:t xml:space="preserve"> </w:t>
      </w:r>
      <w:r>
        <w:t xml:space="preserve">introduced in P1, with V12 (Gaussian-mixture-component tokens)</w:t>
      </w:r>
      <w:r>
        <w:t xml:space="preserve"> </w:t>
      </w:r>
      <w:r>
        <w:t xml:space="preserve">reaching the highest mean F-2 and F-7 under LDA while winning two of</w:t>
      </w:r>
      <w:r>
        <w:t xml:space="preserve"> </w:t>
      </w:r>
      <w:r>
        <w:t xml:space="preserve">the six scenes on each.</w:t>
      </w:r>
    </w:p>
    <w:p>
      <w:pPr>
        <w:pStyle w:val="BodyText"/>
      </w:pPr>
      <w:r>
        <w:t xml:space="preserve">This paper inverts the question. We hold the recipe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{V1, …, V20} constant and vary the backbone across four</w:t>
      </w:r>
      <w:r>
        <w:t xml:space="preserve"> </w:t>
      </w:r>
      <w:r>
        <w:t xml:space="preserve">topic-model families: LDA (baseline carried over from P3),</w:t>
      </w:r>
      <w:r>
        <w:t xml:space="preserve"> </w:t>
      </w:r>
      <w:r>
        <w:t xml:space="preserve">Hierarchical Dirichlet Process (HDP) </w:t>
      </w:r>
      <w:r>
        <w:t xml:space="preserve">(Teh et al. 2006)</w:t>
      </w:r>
      <w:r>
        <w:t xml:space="preserve">, Product LDA</w:t>
      </w:r>
      <w:r>
        <w:t xml:space="preserve"> </w:t>
      </w:r>
      <w:r>
        <w:t xml:space="preserve">(ProdLDA) </w:t>
      </w:r>
      <w:r>
        <w:t xml:space="preserve">(Srivastava and Sutton 2017)</w:t>
      </w:r>
      <w:r>
        <w:t xml:space="preserve">, and the Embedded Topic</w:t>
      </w:r>
      <w:r>
        <w:t xml:space="preserve"> </w:t>
      </w:r>
      <w:r>
        <w:t xml:space="preserve">Model (ETM) </w:t>
      </w:r>
      <w:r>
        <w:t xml:space="preserve">(Dieng et al. 2020)</w:t>
      </w:r>
      <w:r>
        <w:t xml:space="preserve">. All four share the basic generative</w:t>
      </w:r>
      <w:r>
        <w:t xml:space="preserve"> </w:t>
      </w:r>
      <w:r>
        <w:t xml:space="preserve">structure (topics are distributions over a discrete vocabulary,</w:t>
      </w:r>
      <w:r>
        <w:t xml:space="preserve"> </w:t>
      </w:r>
      <w:r>
        <w:t xml:space="preserve">documents are mixtures of topics). LDA and HDP place a Dirichlet and a</w:t>
      </w:r>
      <w:r>
        <w:t xml:space="preserve"> </w:t>
      </w:r>
      <w:r>
        <w:t xml:space="preserve">Dirichlet-process prior on the topic proportions. The model run under</w:t>
      </w:r>
      <w:r>
        <w:t xml:space="preserve"> </w:t>
      </w:r>
      <w:r>
        <w:t xml:space="preserve">the ProdLDA label is the mixture-decoder form of Srivastava and</w:t>
      </w:r>
      <w:r>
        <w:t xml:space="preserve"> </w:t>
      </w:r>
      <w:r>
        <w:t xml:space="preserve">Sutton’s amortised topic model (their NVLDA), with a standard normal</w:t>
      </w:r>
      <w:r>
        <w:t xml:space="preserve"> </w:t>
      </w:r>
      <w:r>
        <w:t xml:space="preserve">prior on the topic logits; the product-of-experts decoder that defines</w:t>
      </w:r>
      <w:r>
        <w:t xml:space="preserve"> </w:t>
      </w:r>
      <w:r>
        <w:t xml:space="preserve">ProdLDA was not run (§</w:t>
      </w:r>
      <w:hyperlink w:anchor="sec:backbones">
        <w:r>
          <w:rPr>
            <w:rStyle w:val="Hyperlink"/>
          </w:rPr>
          <w:t xml:space="preserve">2</w:t>
        </w:r>
      </w:hyperlink>
      <w:r>
        <w:t xml:space="preserve">). ETM shares that prior and</w:t>
      </w:r>
      <w:r>
        <w:t xml:space="preserve"> </w:t>
      </w:r>
      <w:r>
        <w:t xml:space="preserve">the amortised encoder and parameterises the topic–word distribution</w:t>
      </w:r>
      <w:r>
        <w:t xml:space="preserve"> </w:t>
      </w:r>
      <w:r>
        <w:t xml:space="preserve">as a softmax of embedding dot products, so the two neural backbones</w:t>
      </w:r>
      <w:r>
        <w:t xml:space="preserve"> </w:t>
      </w:r>
      <w:r>
        <w:t xml:space="preserve">differ only in the decoder.</w:t>
      </w:r>
    </w:p>
    <w:bookmarkStart w:id="14" w:name="subsec:headline"/>
    <w:p>
      <w:pPr>
        <w:pStyle w:val="Heading2"/>
      </w:pPr>
      <w:r>
        <w:t xml:space="preserve">The headline finding</w:t>
      </w:r>
    </w:p>
    <w:p>
      <w:pPr>
        <w:pStyle w:val="FirstParagraph"/>
      </w:pPr>
      <w:r>
        <w:t xml:space="preserve">The wordification ranking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invariant under the backbone</w:t>
      </w:r>
      <w:r>
        <w:t xml:space="preserve"> </w:t>
      </w:r>
      <w:r>
        <w:t xml:space="preserve">choice. Table </w:t>
      </w:r>
      <w:hyperlink w:anchor="tab:headli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per-backbone F-2</w:t>
      </w:r>
      <w:r>
        <w:t xml:space="preserve"> </w:t>
      </w:r>
      <w:r>
        <w:t xml:space="preserve">coherence winner across the six labelled-scene panel. LDA and ETM agree</w:t>
      </w:r>
      <w:r>
        <w:t xml:space="preserve"> </w:t>
      </w:r>
      <w:r>
        <w:t xml:space="preserve">on V12; HDP picks V7; ProdLDA picks V3. Three of four backbones</w:t>
      </w:r>
      <w:r>
        <w:t xml:space="preserve"> </w:t>
      </w:r>
      <w:r>
        <w:t xml:space="preserve">disagree on the single best recipe.</w:t>
      </w:r>
    </w:p>
    <w:bookmarkStart w:id="13" w:name="tab:headline"/>
    <w:p>
      <w:pPr>
        <w:pStyle w:val="TableCaption"/>
      </w:pPr>
      <w:r>
        <w:t xml:space="preserve">Per-backbone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winner on the six labelled-scene panel</w:t>
      </w:r>
      <w:r>
        <w:t xml:space="preserve"> </w:t>
      </w:r>
      <w:r>
        <w:t xml:space="preserve">(uniform /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, mean across scenes).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backbone F-2 c_v winner on the six labelled-scene panel (uniform / Q=8, mean across scenes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 (GMM-token)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 (absorption triplet)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(joint band–bin)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 (GMM-token)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</w:t>
            </w:r>
          </w:p>
        </w:tc>
      </w:tr>
    </w:tbl>
    <w:bookmarkEnd w:id="13"/>
    <w:p>
      <w:pPr>
        <w:pStyle w:val="BodyText"/>
      </w:pPr>
      <w:r>
        <w:t xml:space="preserve">This is the formal version of the observation that the wordification</w:t>
      </w:r>
      <w:r>
        <w:t xml:space="preserve"> </w:t>
      </w:r>
      <w:r>
        <w:t xml:space="preserve">choice and the backbone choice cannot be made independently. P3’s</w:t>
      </w:r>
      <w:r>
        <w:t xml:space="preserve"> </w:t>
      </w:r>
      <w:r>
        <w:t xml:space="preserve">recommendation that V1 retain canonical-default status assumed an LDA</w:t>
      </w:r>
      <w:r>
        <w:t xml:space="preserve"> </w:t>
      </w:r>
      <w:r>
        <w:t xml:space="preserve">backbone; this paper shows that switching backbone changes</w:t>
      </w:r>
      <w:r>
        <w:t xml:space="preserve"> </w:t>
      </w:r>
      <w:r>
        <w:t xml:space="preserve">the practical canonical too.</w:t>
      </w:r>
    </w:p>
    <w:bookmarkEnd w:id="14"/>
    <w:bookmarkStart w:id="15" w:name="subsec:contributions"/>
    <w:p>
      <w:pPr>
        <w:pStyle w:val="Heading2"/>
      </w:pPr>
      <w:r>
        <w:t xml:space="preserve">Contributions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19</m:t>
        </m:r>
      </m:oMath>
      <w:r>
        <w:t xml:space="preserve"> </w:t>
      </w:r>
      <w:r>
        <w:t xml:space="preserve">factorial sweep over four topic-model</w:t>
      </w:r>
      <w:r>
        <w:t xml:space="preserve"> </w:t>
      </w:r>
      <w:r>
        <w:t xml:space="preserve">backbones (LDA, HDP, ProdLDA, ETM) and nineteen wordification</w:t>
      </w:r>
      <w:r>
        <w:t xml:space="preserve"> </w:t>
      </w:r>
      <w:r>
        <w:t xml:space="preserve">recipes (V1–V20; V16 scaffolded only) on six labelled HSI scenes.</w:t>
      </w:r>
      <w:r>
        <w:t xml:space="preserve"> </w:t>
      </w:r>
      <w:r>
        <w:t xml:space="preserve">456 F-2 cells, 456 F-14 cells.</w:t>
      </w:r>
    </w:p>
    <w:p>
      <w:pPr>
        <w:numPr>
          <w:ilvl w:val="0"/>
          <w:numId w:val="1001"/>
        </w:numPr>
      </w:pPr>
      <w:r>
        <w:t xml:space="preserve">Three empirical backbone–recipe affinities on F-2: LDA and</w:t>
      </w:r>
      <w:r>
        <w:t xml:space="preserve"> </w:t>
      </w:r>
      <w:r>
        <w:t xml:space="preserve">ETM pick V12, with V3 and V20 close behind, HDP picks the</w:t>
      </w:r>
      <w:r>
        <w:t xml:space="preserve"> </w:t>
      </w:r>
      <w:r>
        <w:t xml:space="preserve">sparse-event recipe V7, and ProdLDA picks V3. ETM and ProdLDA share their prior and encoder,</w:t>
      </w:r>
      <w:r>
        <w:t xml:space="preserve"> </w:t>
      </w:r>
      <w:r>
        <w:t xml:space="preserve">so their disagreement comes from the decoder parameterisation or</w:t>
      </w:r>
      <w:r>
        <w:t xml:space="preserve"> </w:t>
      </w:r>
      <w:r>
        <w:t xml:space="preserve">from optimisation, which this study does not separate.</w:t>
      </w:r>
    </w:p>
    <w:p>
      <w:pPr>
        <w:numPr>
          <w:ilvl w:val="0"/>
          <w:numId w:val="1001"/>
        </w:numPr>
      </w:pPr>
      <w:r>
        <w:t xml:space="preserve">A per-recipe</w:t>
      </w:r>
      <w:r>
        <w:t xml:space="preserve"> </w:t>
      </w:r>
      <w:r>
        <w:rPr>
          <w:i/>
          <w:iCs/>
        </w:rPr>
        <w:t xml:space="preserve">affinity score</w:t>
      </w:r>
      <w:r>
        <w:t xml:space="preserve"> </w:t>
      </w:r>
      <w:hyperlink w:anchor="eq:affinity">
        <w:r>
          <w:rPr>
            <w:rStyle w:val="Hyperlink"/>
          </w:rPr>
          <w:t xml:space="preserve">[eq:affinity]</w:t>
        </w:r>
      </w:hyperlink>
      <w:r>
        <w:t xml:space="preserve"> </w:t>
      </w:r>
      <w:r>
        <w:t xml:space="preserve">that</w:t>
      </w:r>
      <w:r>
        <w:t xml:space="preserve"> </w:t>
      </w:r>
      <w:r>
        <w:t xml:space="preserve">measures how a recipe transfers across the four backbones,</w:t>
      </w:r>
      <w:r>
        <w:t xml:space="preserve"> </w:t>
      </w:r>
      <w:r>
        <w:t xml:space="preserve">identifying V12 (top of the coherence affinity ranking, V20 second)</w:t>
      </w:r>
      <w:r>
        <w:t xml:space="preserve"> </w:t>
      </w:r>
      <w:r>
        <w:t xml:space="preserve">and V13 (lowest affinity, at or near the per-backbone minimum) as the</w:t>
      </w:r>
      <w:r>
        <w:t xml:space="preserve"> </w:t>
      </w:r>
      <w:r>
        <w:t xml:space="preserve">extremes.</w:t>
      </w:r>
    </w:p>
    <w:p>
      <w:pPr>
        <w:numPr>
          <w:ilvl w:val="0"/>
          <w:numId w:val="1001"/>
        </w:numPr>
      </w:pPr>
      <w:r>
        <w:t xml:space="preserve">A revised practical recommendation: the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backbone</m:t>
        </m:r>
        <m:r>
          <m:rPr>
            <m:sty m:val="p"/>
          </m:rPr>
          <m:t>,</m:t>
        </m:r>
        <m:r>
          <m:rPr>
            <m:nor/>
            <m:sty m:val="p"/>
          </m:rPr>
          <m:t>wordification</m:t>
        </m:r>
        <m:r>
          <m:rPr>
            <m:sty m:val="p"/>
          </m:rPr>
          <m:t>)</m:t>
        </m:r>
      </m:oMath>
      <w:r>
        <w:t xml:space="preserve"> </w:t>
      </w:r>
      <w:r>
        <w:t xml:space="preserve">pair is a single</w:t>
      </w:r>
      <w:r>
        <w:t xml:space="preserve"> </w:t>
      </w:r>
      <w:r>
        <w:t xml:space="preserve">hyper-decision and should be reported jointly.</w:t>
      </w:r>
    </w:p>
    <w:bookmarkEnd w:id="15"/>
    <w:bookmarkEnd w:id="16"/>
    <w:bookmarkStart w:id="21" w:name="sec:backbones"/>
    <w:p>
      <w:pPr>
        <w:pStyle w:val="Heading1"/>
      </w:pPr>
      <w:r>
        <w:t xml:space="preserve">The four backbones</w:t>
      </w:r>
    </w:p>
    <w:p>
      <w:pPr>
        <w:pStyle w:val="FirstParagraph"/>
      </w:pPr>
      <w:r>
        <w:t xml:space="preserve">All four backbones are formally defined by the canonical equation set</w:t>
      </w:r>
      <w:r>
        <w:t xml:space="preserve"> </w:t>
      </w:r>
      <w:r>
        <w:t xml:space="preserve">shared across the paper series: LDA by</w:t>
      </w:r>
      <w:r>
        <w:t xml:space="preserve"> 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, HDP by</w:t>
      </w:r>
      <w:r>
        <w:t xml:space="preserve"> </w:t>
      </w:r>
      <w:hyperlink w:anchor="eq:hdp-gen">
        <w:r>
          <w:rPr>
            <w:rStyle w:val="Hyperlink"/>
          </w:rPr>
          <w:t xml:space="preserve">[eq:hdp-gen]</w:t>
        </w:r>
      </w:hyperlink>
      <w:r>
        <w:t xml:space="preserve">, ProdLDA by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, and ETM by</w:t>
      </w:r>
      <w:r>
        <w:t xml:space="preserve"> </w:t>
      </w:r>
      <w:hyperlink w:anchor="eq:etm-beta">
        <w:r>
          <w:rPr>
            <w:rStyle w:val="Hyperlink"/>
          </w:rPr>
          <w:t xml:space="preserve">[eq:etm-beta]</w:t>
        </w:r>
      </w:hyperlink>
      <w:r>
        <w:t xml:space="preserve">. The</w:t>
      </w:r>
      <w:r>
        <w:t xml:space="preserve"> </w:t>
      </w:r>
      <w:r>
        <w:t xml:space="preserve">subsections below give only the hyperparameters and implementation that</w:t>
      </w:r>
      <w:r>
        <w:t xml:space="preserve"> </w:t>
      </w:r>
      <w:r>
        <w:t xml:space="preserve">specialise each generic backbone to this study.</w:t>
      </w:r>
    </w:p>
    <w:bookmarkStart w:id="17" w:name="online-vb-lda-p1-p3"/>
    <w:p>
      <w:pPr>
        <w:pStyle w:val="Heading2"/>
      </w:pPr>
      <w:r>
        <w:t xml:space="preserve">Online-VB LDA (P1, P3)</w:t>
      </w:r>
    </w:p>
    <w:p>
      <w:pPr>
        <w:pStyle w:val="FirstParagraph"/>
      </w:pPr>
      <w:r>
        <w:t xml:space="preserve">The canonical fixed-K LDA</w:t>
      </w:r>
      <w:r>
        <w:t xml:space="preserve"> </w:t>
      </w:r>
      <w:hyperlink w:anchor="eq:lda-gen">
        <w:r>
          <w:rPr>
            <w:rStyle w:val="Hyperlink"/>
          </w:rPr>
          <w:t xml:space="preserve">[eq:lda-gen]</w:t>
        </w:r>
      </w:hyperlink>
      <w:r>
        <w:t xml:space="preserve"> </w:t>
      </w:r>
      <w:r>
        <w:t xml:space="preserve">with online variational</w:t>
      </w:r>
      <w:r>
        <w:t xml:space="preserve"> </w:t>
      </w:r>
      <w:r>
        <w:t xml:space="preserve">Bayes inference</w:t>
      </w:r>
      <w:r>
        <w:t xml:space="preserve"> </w:t>
      </w:r>
      <w:r>
        <w:t xml:space="preserve">(Hoffman et al. 2010)</w:t>
      </w:r>
      <w:r>
        <w:t xml:space="preserve">. Symmetric Dirichlet priors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0.45</m:t>
        </m:r>
      </m:oMath>
      <w:r>
        <w:t xml:space="preserve"> </w:t>
      </w:r>
      <w:r>
        <w:t xml:space="preserve">on topic mixtures and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0.20</m:t>
        </m:r>
      </m:oMath>
      <w:r>
        <w:t xml:space="preserve"> </w:t>
      </w:r>
      <w:r>
        <w:t xml:space="preserve">on topic-word distributions.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chosen by the same policy as P3, from the mean document length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of each recipe and scene: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≥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2.5</m:t>
                    </m:r>
                    <m:r>
                      <m:rPr>
                        <m:sty m:val="p"/>
                      </m:rPr>
                      <m:t>≤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&lt;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Implementation:</w:t>
      </w:r>
      <w:r>
        <w:t xml:space="preserve"> </w:t>
      </w:r>
      <w:r>
        <w:t xml:space="preserve">, random seed 42.</w:t>
      </w:r>
    </w:p>
    <w:bookmarkEnd w:id="17"/>
    <w:bookmarkStart w:id="18" w:name="hierarchical-dirichlet-process-hdp"/>
    <w:p>
      <w:pPr>
        <w:pStyle w:val="Heading2"/>
      </w:pPr>
      <w:r>
        <w:t xml:space="preserve">Hierarchical Dirichlet Process (HDP)</w:t>
      </w:r>
    </w:p>
    <w:p>
      <w:pPr>
        <w:pStyle w:val="FirstParagraph"/>
      </w:pPr>
      <w:r>
        <w:t xml:space="preserve">Bayesian nonparametric topic model with two-level stick breaking</w:t>
      </w:r>
      <w:r>
        <w:t xml:space="preserve"> </w:t>
      </w:r>
      <w:hyperlink w:anchor="eq:hdp-gen">
        <w:r>
          <w:rPr>
            <w:rStyle w:val="Hyperlink"/>
          </w:rPr>
          <w:t xml:space="preserve">[eq:hdp-gen]</w:t>
        </w:r>
      </w:hyperlink>
      <w:r>
        <w:t xml:space="preserve"> </w:t>
      </w:r>
      <w:r>
        <w:t xml:space="preserve">(Teh et al. 2006)</w:t>
      </w:r>
      <w:r>
        <w:t xml:space="preserve">. We use gensim’s</w:t>
      </w:r>
      <w:r>
        <w:t xml:space="preserve"> </w:t>
      </w:r>
      <w:r>
        <w:rPr>
          <w:rStyle w:val="VerbatimChar"/>
        </w:rPr>
        <w:t xml:space="preserve">HdpModel</w:t>
      </w:r>
      <w:r>
        <w:t xml:space="preserve"> </w:t>
      </w:r>
      <w:r>
        <w:t xml:space="preserve">with truncation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at the corpus level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at the document level. Random</w:t>
      </w:r>
      <w:r>
        <w:t xml:space="preserve"> </w:t>
      </w:r>
      <w:r>
        <w:t xml:space="preserve">seed 42. The number of effective topics is data-driven; the topic</w:t>
      </w:r>
      <w:r>
        <w:t xml:space="preserve"> </w:t>
      </w:r>
      <w:r>
        <w:rPr>
          <w:i/>
          <w:iCs/>
        </w:rPr>
        <w:t xml:space="preserve">rank</w:t>
      </w:r>
      <w:r>
        <w:t xml:space="preserve"> </w:t>
      </w:r>
      <w:r>
        <w:t xml:space="preserve">(the strength of each topic’s prior weight) is part of</w:t>
      </w:r>
      <w:r>
        <w:t xml:space="preserve"> </w:t>
      </w:r>
      <w:r>
        <w:t xml:space="preserve">the inference output.</w:t>
      </w:r>
    </w:p>
    <w:bookmarkEnd w:id="18"/>
    <w:bookmarkStart w:id="19" w:name="product-lda-prodlda"/>
    <w:p>
      <w:pPr>
        <w:pStyle w:val="Heading2"/>
      </w:pPr>
      <w:r>
        <w:t xml:space="preserve">Product LDA (ProdLDA)</w:t>
      </w:r>
    </w:p>
    <w:p>
      <w:pPr>
        <w:pStyle w:val="FirstParagraph"/>
      </w:pPr>
      <w:r>
        <w:t xml:space="preserve">The model run under the ProdLDA label is the amortised variational</w:t>
      </w:r>
      <w:r>
        <w:t xml:space="preserve"> </w:t>
      </w:r>
      <w:r>
        <w:t xml:space="preserve">topic model of Srivastava and Sutton </w:t>
      </w:r>
      <w:r>
        <w:t xml:space="preserve">(Srivastava and Sutton 2017)</w:t>
      </w:r>
      <w:r>
        <w:t xml:space="preserve"> </w:t>
      </w:r>
      <w:r>
        <w:t xml:space="preserve">in its mixture-decoder form (their NVLDA),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: a</w:t>
      </w:r>
      <w:r>
        <w:t xml:space="preserve"> </w:t>
      </w:r>
      <w:r>
        <w:t xml:space="preserve">standard normal prior</w:t>
      </w:r>
      <w:r>
        <w:t xml:space="preserve"> </w:t>
      </w:r>
      <m:oMath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b>
          <m:e>
            <m:r>
              <m:t>δ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d</m:t>
            </m:r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d</m:t>
                </m:r>
                <m:r>
                  <m:t>k</m:t>
                </m:r>
              </m:sub>
            </m:sSub>
          </m:e>
        </m:nary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a free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of logits</w:t>
      </w:r>
      <w:r>
        <w:t xml:space="preserve"> </w:t>
      </w:r>
      <m:oMath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. The product-of-experts decoder that defines ProdLDA was not</w:t>
      </w:r>
      <w:r>
        <w:t xml:space="preserve"> </w:t>
      </w:r>
      <w:r>
        <w:t xml:space="preserve">run. Encoder: two hidden layers of 100 units producing the Gaussian</w:t>
      </w:r>
      <w:r>
        <w:t xml:space="preserve"> </w:t>
      </w:r>
      <w:r>
        <w:t xml:space="preserve">posterior over</w:t>
      </w:r>
      <w:r>
        <w:t xml:space="preserve"> </w:t>
      </w:r>
      <m:oMath>
        <m:sSub>
          <m:e>
            <m:r>
              <m:t>δ</m:t>
            </m:r>
          </m:e>
          <m:sub>
            <m:r>
              <m:t>d</m:t>
            </m:r>
          </m:sub>
        </m:sSub>
      </m:oMath>
      <w:r>
        <w:t xml:space="preserve">; Pyro implementation, Adam, 80 epochs, batch</w:t>
      </w:r>
      <w:r>
        <w:t xml:space="preserve"> </w:t>
      </w:r>
      <w:r>
        <w:t xml:space="preserve">128,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random seed 42.</w:t>
      </w:r>
    </w:p>
    <w:bookmarkEnd w:id="19"/>
    <w:bookmarkStart w:id="20" w:name="embedded-topic-model-etm"/>
    <w:p>
      <w:pPr>
        <w:pStyle w:val="Heading2"/>
      </w:pPr>
      <w:r>
        <w:t xml:space="preserve">Embedded Topic Model (ETM)</w:t>
      </w:r>
    </w:p>
    <w:p>
      <w:pPr>
        <w:pStyle w:val="FirstParagraph"/>
      </w:pPr>
      <w:r>
        <w:t xml:space="preserve">Joint word–topic embedding model</w:t>
      </w:r>
      <w:r>
        <w:t xml:space="preserve"> </w:t>
      </w:r>
      <w:r>
        <w:t xml:space="preserve">(Dieng et al. 2020)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prior and the same amortised encoder as the</w:t>
      </w:r>
      <w:r>
        <w:t xml:space="preserve"> </w:t>
      </w:r>
      <w:r>
        <w:t xml:space="preserve">ProdLDA-labelled model. Its decoder is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p>
          <m:e>
            <m:r>
              <m:t>ρ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q:etm-beta">
        <w:r>
          <w:rPr>
            <w:rStyle w:val="Hyperlink"/>
          </w:rPr>
          <w:t xml:space="preserve">[eq:etm-beta]</w:t>
        </w:r>
      </w:hyperlink>
      <w:r>
        <w:t xml:space="preserve">, with word-embedding matrix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(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), per-topic embedding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and the mixture likelihood of Dieng et</w:t>
      </w:r>
      <w:r>
        <w:t xml:space="preserve"> </w:t>
      </w:r>
      <w:r>
        <w:t xml:space="preserve">al. The two neural backbones therefore differ only in the decoder</w:t>
      </w:r>
      <w:r>
        <w:t xml:space="preserve"> </w:t>
      </w:r>
      <w:r>
        <w:t xml:space="preserve">parameterisation: a free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</m:oMath>
      <w:r>
        <w:t xml:space="preserve"> </w:t>
      </w:r>
      <w:r>
        <w:t xml:space="preserve">topic–word matrix against the</w:t>
      </w:r>
      <w:r>
        <w:t xml:space="preserve"> </w:t>
      </w:r>
      <w:r>
        <w:t xml:space="preserve">rank-</w:t>
      </w:r>
      <m:oMath>
        <m:r>
          <m:t>L</m:t>
        </m:r>
      </m:oMath>
      <w:r>
        <w:t xml:space="preserve"> </w:t>
      </w:r>
      <w:r>
        <w:t xml:space="preserve">factorisation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.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t xml:space="preserve">the factorisation does not restrict which topic–word</w:t>
      </w:r>
      <w:r>
        <w:t xml:space="preserve"> </w:t>
      </w:r>
      <w:r>
        <w:t xml:space="preserve">matrices can be represented, so the two decoders differ in</w:t>
      </w:r>
      <w:r>
        <w:t xml:space="preserve"> </w:t>
      </w:r>
      <w:r>
        <w:t xml:space="preserve">parameterisation, not in capacity. Same 80-epoch / batch-128</w:t>
      </w:r>
      <w:r>
        <w:t xml:space="preserve"> </w:t>
      </w:r>
      <w:r>
        <w:t xml:space="preserve">/ learning-rate-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/ seed-42 protocol.</w:t>
      </w:r>
    </w:p>
    <w:bookmarkEnd w:id="20"/>
    <w:bookmarkEnd w:id="21"/>
    <w:bookmarkStart w:id="22" w:name="sec:method"/>
    <w:p>
      <w:pPr>
        <w:pStyle w:val="Heading1"/>
      </w:pPr>
      <w:r>
        <w:t xml:space="preserve">Method: factorial design</w:t>
      </w:r>
    </w:p>
    <w:p>
      <w:pPr>
        <w:pStyle w:val="FirstParagraph"/>
      </w:pPr>
      <w:r>
        <w:t xml:space="preserve">The factorial design is fully crossed: for each pair (backbone, recipe)</w:t>
      </w:r>
      <w:r>
        <w:t xml:space="preserve"> </w:t>
      </w:r>
      <w:r>
        <w:t xml:space="preserve">we use</w:t>
      </w:r>
      <w:r>
        <w:t xml:space="preserve"> </w:t>
      </w:r>
      <w:r>
        <w:rPr>
          <w:i/>
          <w:iCs/>
        </w:rPr>
        <w:t xml:space="preserve">the same</w:t>
      </w:r>
      <w:r>
        <w:t xml:space="preserve"> </w:t>
      </w:r>
      <w:r>
        <w:t xml:space="preserve">pre-computed doc-term matrix as in P3 (so the</w:t>
      </w:r>
      <w:r>
        <w:t xml:space="preserve"> </w:t>
      </w:r>
      <w:r>
        <w:t xml:space="preserve">wordification stage is identical across backbones) and refit the</w:t>
      </w:r>
      <w:r>
        <w:t xml:space="preserve"> </w:t>
      </w:r>
      <w:r>
        <w:t xml:space="preserve">backbone from scratch. For each cell we report:</w:t>
      </w:r>
    </w:p>
    <w:p>
      <w:pPr>
        <w:numPr>
          <w:ilvl w:val="0"/>
          <w:numId w:val="1002"/>
        </w:numPr>
      </w:pPr>
      <w:r>
        <w:t xml:space="preserve">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coherence</w:t>
      </w:r>
      <w:r>
        <w:t xml:space="preserve"> </w:t>
      </w:r>
      <w:hyperlink w:anchor="eq:f2">
        <w:r>
          <w:rPr>
            <w:rStyle w:val="Hyperlink"/>
          </w:rPr>
          <w:t xml:space="preserve">[eq:f2]</w:t>
        </w:r>
      </w:hyperlink>
      <w:r>
        <w:t xml:space="preserve"> </w:t>
      </w:r>
      <w:r>
        <w:t xml:space="preserve">on the top-10 words per topic,</w:t>
      </w:r>
      <w:r>
        <w:t xml:space="preserve"> </w:t>
      </w:r>
      <w:r>
        <w:t xml:space="preserve">using the same estimator as P1 (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: sliding-window NPMI with</w:t>
      </w:r>
      <w:r>
        <w:t xml:space="preserve"> </w:t>
      </w:r>
      <w:r>
        <w:t xml:space="preserve">cosine aggregation).</w:t>
      </w:r>
    </w:p>
    <w:p>
      <w:pPr>
        <w:numPr>
          <w:ilvl w:val="0"/>
          <w:numId w:val="1002"/>
        </w:numPr>
      </w:pPr>
      <w:r>
        <w:t xml:space="preserve">F-14 mean off-diagonal top-10 jaccard between topics</w:t>
      </w:r>
      <w:r>
        <w:t xml:space="preserve"> </w:t>
      </w:r>
      <w:hyperlink w:anchor="eq:f14">
        <w:r>
          <w:rPr>
            <w:rStyle w:val="Hyperlink"/>
          </w:rPr>
          <w:t xml:space="preserve">[eq:f14]</w:t>
        </w:r>
      </w:hyperlink>
      <w:r>
        <w:t xml:space="preserve"> </w:t>
      </w:r>
      <w:r>
        <w:t xml:space="preserve">(lower = more diverse).</w:t>
      </w:r>
    </w:p>
    <w:p>
      <w:pPr>
        <w:pStyle w:val="FirstParagraph"/>
      </w:pPr>
      <w:r>
        <w:t xml:space="preserve">All recipes share the per-row min–max normalisation and uniform</w:t>
      </w:r>
      <w:r>
        <w:t xml:space="preserve"> </w:t>
      </w:r>
      <w:r>
        <w:t xml:space="preserve">quantiser of</w:t>
      </w:r>
      <w:r>
        <w:t xml:space="preserve"> </w:t>
      </w:r>
      <w:hyperlink w:anchor="eq:quantiser">
        <w:r>
          <w:rPr>
            <w:rStyle w:val="Hyperlink"/>
          </w:rPr>
          <w:t xml:space="preserve">[eq:quantiser]</w:t>
        </w:r>
      </w:hyperlink>
      <w:r>
        <w:t xml:space="preserve">; the five recipes with dedicated</w:t>
      </w:r>
      <w:r>
        <w:t xml:space="preserve"> </w:t>
      </w:r>
      <w:r>
        <w:t xml:space="preserve">equations are V1 (band-frequency,</w:t>
      </w:r>
      <w:r>
        <w:t xml:space="preserve"> </w:t>
      </w:r>
      <w:hyperlink w:anchor="eq:v1">
        <w:r>
          <w:rPr>
            <w:rStyle w:val="Hyperlink"/>
          </w:rPr>
          <w:t xml:space="preserve">[eq:v1]</w:t>
        </w:r>
      </w:hyperlink>
      <w:r>
        <w:t xml:space="preserve">), V3 (joint band–bin,</w:t>
      </w:r>
      <w:r>
        <w:t xml:space="preserve"> </w:t>
      </w:r>
      <w:hyperlink w:anchor="eq:v3">
        <w:r>
          <w:rPr>
            <w:rStyle w:val="Hyperlink"/>
          </w:rPr>
          <w:t xml:space="preserve">[eq:v3]</w:t>
        </w:r>
      </w:hyperlink>
      <w:r>
        <w:t xml:space="preserve">), V8 (NFINDR endmember-fraction,</w:t>
      </w:r>
      <w:r>
        <w:t xml:space="preserve"> </w:t>
      </w:r>
      <w:hyperlink w:anchor="eq:v8">
        <w:r>
          <w:rPr>
            <w:rStyle w:val="Hyperlink"/>
          </w:rPr>
          <w:t xml:space="preserve">[eq:v8]</w:t>
        </w:r>
      </w:hyperlink>
      <w:r>
        <w:t xml:space="preserve">), V12</w:t>
      </w:r>
      <w:r>
        <w:t xml:space="preserve"> </w:t>
      </w:r>
      <w:r>
        <w:t xml:space="preserve">(GMM-token,</w:t>
      </w:r>
      <w:r>
        <w:t xml:space="preserve"> </w:t>
      </w:r>
      <w:hyperlink w:anchor="eq:v12">
        <w:r>
          <w:rPr>
            <w:rStyle w:val="Hyperlink"/>
          </w:rPr>
          <w:t xml:space="preserve">[eq:v12]</w:t>
        </w:r>
      </w:hyperlink>
      <w:r>
        <w:t xml:space="preserve">) and V20 (MI-weighted bands,</w:t>
      </w:r>
      <w:r>
        <w:t xml:space="preserve"> </w:t>
      </w:r>
      <w:hyperlink w:anchor="eq:v20">
        <w:r>
          <w:rPr>
            <w:rStyle w:val="Hyperlink"/>
          </w:rPr>
          <w:t xml:space="preserve">[eq:v20]</w:t>
        </w:r>
      </w:hyperlink>
      <w:r>
        <w:t xml:space="preserve">).</w:t>
      </w:r>
    </w:p>
    <w:p>
      <w:pPr>
        <w:pStyle w:val="BodyText"/>
      </w:pPr>
      <w:r>
        <w:t xml:space="preserve">F-7 NMI is also reported under each non-LDA backbone</w:t>
      </w:r>
      <w:r>
        <w:t xml:space="preserve"> </w:t>
      </w:r>
      <w:r>
        <w:t xml:space="preserve">(§</w:t>
      </w:r>
      <w:hyperlink w:anchor="subsec:f7-backbone">
        <w:r>
          <w:rPr>
            <w:rStyle w:val="Hyperlink"/>
          </w:rPr>
          <w:t xml:space="preserve">4.3</w:t>
        </w:r>
      </w:hyperlink>
      <w:r>
        <w:t xml:space="preserve">); F-1 classification, F-22 counterfactual</w:t>
      </w:r>
      <w:r>
        <w:t xml:space="preserve"> </w:t>
      </w:r>
      <w:r>
        <w:t xml:space="preserve">and F-18 reliability are reported for the LDA backbone only (carried</w:t>
      </w:r>
      <w:r>
        <w:t xml:space="preserve"> </w:t>
      </w:r>
      <w:r>
        <w:t xml:space="preserve">over from P3), because they would require a separate downstream</w:t>
      </w:r>
      <w:r>
        <w:t xml:space="preserve"> </w:t>
      </w:r>
      <w:r>
        <w:t xml:space="preserve">classifier pipeline per backbone, which is left to future work.</w:t>
      </w:r>
    </w:p>
    <w:bookmarkEnd w:id="22"/>
    <w:bookmarkStart w:id="45" w:name="sec:results"/>
    <w:p>
      <w:pPr>
        <w:pStyle w:val="Heading1"/>
      </w:pPr>
      <w:r>
        <w:t xml:space="preserve">Results</w:t>
      </w:r>
    </w:p>
    <w:bookmarkStart w:id="27" w:name="f-2-c_v-factorial"/>
    <w:p>
      <w:pPr>
        <w:pStyle w:val="Heading2"/>
      </w:pPr>
      <w:r>
        <w:t xml:space="preserve">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factorial</w:t>
      </w:r>
    </w:p>
    <w:p>
      <w:pPr>
        <w:pStyle w:val="FirstParagraph"/>
      </w:pPr>
      <w:r>
        <w:t xml:space="preserve">Table </w:t>
      </w:r>
      <w:hyperlink w:anchor="tab:f2-factorial">
        <w:r>
          <w:rPr>
            <w:rStyle w:val="Hyperlink"/>
          </w:rPr>
          <w:t xml:space="preserve">[tab:f2-factorial]</w:t>
        </w:r>
      </w:hyperlink>
      <w:r>
        <w:t xml:space="preserve"> </w:t>
      </w:r>
      <w:r>
        <w:t xml:space="preserve">reports the mean 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across the six</w:t>
      </w:r>
      <w:r>
        <w:t xml:space="preserve"> </w:t>
      </w:r>
      <w:r>
        <w:t xml:space="preserve">labelled scenes for every (backbone, recipe) pair, and</w:t>
      </w:r>
      <w:r>
        <w:t xml:space="preserve"> </w:t>
      </w:r>
      <w:r>
        <w:t xml:space="preserve">Fig. </w:t>
      </w:r>
      <w:hyperlink w:anchor="fig:backbone-factoria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same matrix as a heatmap.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  <w:gridCol w:w="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V12</w:t>
            </w:r>
          </w:p>
        </w:tc>
      </w:tr>
    </w:tbl>
    <w:p>
      <w:pPr>
        <w:pStyle w:val="BodyText"/>
      </w:pPr>
      <w:r>
        <w:t xml:space="preserve">V20 (mutual-information-weighted bands) ranks second under LDA, third</w:t>
      </w:r>
      <w:r>
        <w:t xml:space="preserve"> </w:t>
      </w:r>
      <w:r>
        <w:t xml:space="preserve">under ETM, fourth under ProdLDA and, leaving out the flagged V15 cell</w:t>
      </w:r>
      <w:r>
        <w:t xml:space="preserve"> </w:t>
      </w:r>
      <w:r>
        <w:t xml:space="preserve">(eleventh with it), tenth under HDP, where the leaders are V7 (absorption triplets, 0.61) and V17 (sparse-coding</w:t>
      </w:r>
      <w:r>
        <w:t xml:space="preserve"> </w:t>
      </w:r>
      <w:r>
        <w:t xml:space="preserve">dictionary atoms, 0.59), followed by V1 (0.54). Under LDA / ETM</w:t>
      </w:r>
      <w:r>
        <w:t xml:space="preserve"> </w:t>
      </w:r>
      <w:r>
        <w:t xml:space="preserve">V12 wins; under ProdLDA V3 wins; V20 trails the per-backbone winner</w:t>
      </w:r>
      <w:r>
        <w:t xml:space="preserve"> </w:t>
      </w:r>
      <w:r>
        <w:t xml:space="preserve">by about 0.06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on average (excluding HDP). The cross-backbone affinity ranking below</w:t>
      </w:r>
      <w:r>
        <w:t xml:space="preserve"> </w:t>
      </w:r>
      <w:r>
        <w:t xml:space="preserve">quantifies this.</w:t>
      </w:r>
    </w:p>
    <w:bookmarkStart w:id="26" w:name="fig:backbone-factorial"/>
    <w:p>
      <w:pPr>
        <w:pStyle w:val="CaptionedFigure"/>
      </w:pPr>
      <w:r>
        <w:drawing>
          <wp:inline>
            <wp:extent cx="5280660" cy="202099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4-backbone-factorial.pdf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02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F-2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across the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backbone factorial: a</w:t>
      </w:r>
      <w:r>
        <w:t xml:space="preserve"> </w:t>
      </w:r>
      <w:r>
        <w:t xml:space="preserve">single heatmap with one row per backbone and the recipes in index</w:t>
      </w:r>
      <w:r>
        <w:t xml:space="preserve"> </w:t>
      </w:r>
      <w:r>
        <w:t xml:space="preserve">order.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and a green border mark each row’s winner (bold cell in</w:t>
      </w:r>
      <w:r>
        <w:t xml:space="preserve"> </w:t>
      </w:r>
      <w:r>
        <w:t xml:space="preserve">Table </w:t>
      </w:r>
      <w:hyperlink w:anchor="tab:f2-factorial">
        <w:r>
          <w:rPr>
            <w:rStyle w:val="Hyperlink"/>
          </w:rPr>
          <w:t xml:space="preserve">[tab:f2-factorial]</w:t>
        </w:r>
      </w:hyperlink>
      <w:r>
        <w:t xml:space="preserve">); V20’s value is in bold purple (yellow on</w:t>
      </w:r>
      <w:r>
        <w:t xml:space="preserve"> </w:t>
      </w:r>
      <w:r>
        <w:t xml:space="preserve">dark cells), and the footer gives V20’s rank within each row (the HDP</w:t>
      </w:r>
      <w:r>
        <w:t xml:space="preserve"> </w:t>
      </w:r>
      <w:r>
        <w:t xml:space="preserve">rank counts the flagged V15 cell of Table </w:t>
      </w:r>
      <w:hyperlink w:anchor="tab:f2-factorial">
        <w:r>
          <w:rPr>
            <w:rStyle w:val="Hyperlink"/>
          </w:rPr>
          <w:t xml:space="preserve">[tab:f2-factorial]</w:t>
        </w:r>
      </w:hyperlink>
      <w:r>
        <w:t xml:space="preserve">;</w:t>
      </w:r>
      <w:r>
        <w:t xml:space="preserve"> </w:t>
      </w:r>
      <w:r>
        <w:t xml:space="preserve">without it V20 is tenth). The winner moves between recipes (V12 for LDA / ETM, V3 for ProdLDA, V7</w:t>
      </w:r>
      <w:r>
        <w:t xml:space="preserve"> </w:t>
      </w:r>
      <w:r>
        <w:t xml:space="preserve">for HDP), making the recipe ranking backbone-dependent.</w:t>
      </w:r>
    </w:p>
    <w:bookmarkEnd w:id="26"/>
    <w:bookmarkEnd w:id="27"/>
    <w:bookmarkStart w:id="33" w:name="per-recipe-affinity-score"/>
    <w:p>
      <w:pPr>
        <w:pStyle w:val="Heading2"/>
      </w:pPr>
      <w:r>
        <w:t xml:space="preserve">Per-recipe affinity score</w:t>
      </w:r>
    </w:p>
    <w:p>
      <w:pPr>
        <w:pStyle w:val="FirstParagraph"/>
      </w:pPr>
      <w:r>
        <w:t xml:space="preserve">We define a recipe’s</w:t>
      </w:r>
      <w:r>
        <w:t xml:space="preserve"> </w:t>
      </w:r>
      <w:r>
        <w:rPr>
          <w:i/>
          <w:iCs/>
        </w:rPr>
        <w:t xml:space="preserve">cross-backbone affinity score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q:affinity">
        <w:r>
          <w:rPr>
            <w:rStyle w:val="Hyperlink"/>
          </w:rPr>
          <w:t xml:space="preserve">[eq:affinity]</w:t>
        </w:r>
      </w:hyperlink>
      <w:r>
        <w:t xml:space="preserve">: the average, over the four</w:t>
      </w:r>
      <w:r>
        <w:t xml:space="preserve"> </w:t>
      </w:r>
      <w:r>
        <w:t xml:space="preserve">backbones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L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H</m:t>
        </m:r>
        <m:r>
          <m:rPr>
            <m:sty m:val="p"/>
          </m:rPr>
          <m:t>D</m:t>
        </m:r>
        <m:r>
          <m:rPr>
            <m:sty m:val="p"/>
          </m:rPr>
          <m:t>P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L</m:t>
        </m:r>
        <m:r>
          <m:rPr>
            <m:sty m:val="p"/>
          </m:rPr>
          <m:t>D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}</m:t>
        </m:r>
      </m:oMath>
      <w:r>
        <w:t xml:space="preserve">, of the within-backbone min–max-normalised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recipe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; higher means the recipe</w:t>
      </w:r>
      <w:r>
        <w:t xml:space="preserve"> </w:t>
      </w:r>
      <w:r>
        <w:t xml:space="preserve">consistently scores near the per-backbone top across all four</w:t>
      </w:r>
      <w:r>
        <w:t xml:space="preserve"> </w:t>
      </w:r>
      <w:r>
        <w:t xml:space="preserve">backbones. Table </w:t>
      </w:r>
      <w:hyperlink w:anchor="tab:affinit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computed</w:t>
      </w:r>
      <w:r>
        <w:t xml:space="preserve"> </w:t>
      </w:r>
      <w:r>
        <w:t xml:space="preserve">directly from the full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cells of</w:t>
      </w:r>
      <w:r>
        <w:t xml:space="preserve"> </w:t>
      </w:r>
      <w:r>
        <w:t xml:space="preserve">Table </w:t>
      </w:r>
      <w:hyperlink w:anchor="tab:f2-factorial">
        <w:r>
          <w:rPr>
            <w:rStyle w:val="Hyperlink"/>
          </w:rPr>
          <w:t xml:space="preserve">[tab:f2-factorial]</w:t>
        </w:r>
      </w:hyperlink>
      <w:r>
        <w:t xml:space="preserve">, so every recipe, including the</w:t>
      </w:r>
      <w:r>
        <w:t xml:space="preserve"> </w:t>
      </w:r>
      <w:r>
        <w:t xml:space="preserve">multi-scale V14 (continuous-wavelet tokens), the graph-Laplacian V18</w:t>
      </w:r>
      <w:r>
        <w:t xml:space="preserve"> </w:t>
      </w:r>
      <w:r>
        <w:t xml:space="preserve">and the label-aware V20, sits on one common scale</w:t>
      </w:r>
      <w:r>
        <w:t xml:space="preserve"> </w:t>
      </w:r>
      <w:r>
        <w:t xml:space="preserve">(Fig. </w:t>
      </w:r>
      <w:hyperlink w:anchor="fig:affinity-bars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28" w:name="tab:affinity"/>
    <w:p>
      <w:pPr>
        <w:pStyle w:val="TableCaption"/>
      </w:pPr>
      <w:r>
        <w:t xml:space="preserve">Cross-backbone affinity scores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hyperlink w:anchor="eq:affinity">
        <w:r>
          <w:rPr>
            <w:rStyle w:val="Hyperlink"/>
          </w:rPr>
          <w:t xml:space="preserve">[eq:affinity]</w:t>
        </w:r>
      </w:hyperlink>
      <w:r>
        <w:t xml:space="preserve">, computed from the full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factorial of</w:t>
      </w:r>
      <w:r>
        <w:t xml:space="preserve"> </w:t>
      </w:r>
      <w:r>
        <w:t xml:space="preserve">Table </w:t>
      </w:r>
      <w:hyperlink w:anchor="tab:f2-factorial">
        <w:r>
          <w:rPr>
            <w:rStyle w:val="Hyperlink"/>
          </w:rPr>
          <w:t xml:space="preserve">[tab:f2-factorial]</w:t>
        </w:r>
      </w:hyperlink>
      <w:r>
        <w:t xml:space="preserve"> </w:t>
      </w:r>
      <w:r>
        <w:t xml:space="preserve">(min–max normalised within each backbone,</w:t>
      </w:r>
      <w:r>
        <w:t xml:space="preserve"> </w:t>
      </w:r>
      <w:r>
        <w:t xml:space="preserve">then averaged).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backbone affinity scores \mathcal{A}(V_i) [eq:affinity], computed from the full 19 \times 4 factorial of Table [tab:f2-factorial] (min–max normalised within each backbone, then averaged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script"/>
                  <m:sty m:val="p"/>
                </m:rPr>
                <m:t>A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</w:tr>
    </w:tbl>
    <w:bookmarkEnd w:id="28"/>
    <w:p>
      <w:pPr>
        <w:pStyle w:val="BodyText"/>
      </w:pPr>
      <w:r>
        <w:rPr>
          <w:b/>
          <w:bCs/>
        </w:rPr>
        <w:t xml:space="preserve">V12 has the highest cross-backbone affinity</w:t>
      </w:r>
      <w:r>
        <w:t xml:space="preserve"> </w:t>
      </w:r>
      <w:r>
        <w:t xml:space="preserve">(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r>
          <m:t>0.76</m:t>
        </m:r>
      </m:oMath>
      <w:r>
        <w:t xml:space="preserve">), with V20 (</w:t>
      </w:r>
      <m:oMath>
        <m:r>
          <m:t>0.75</m:t>
        </m:r>
      </m:oMath>
      <w:r>
        <w:t xml:space="preserve">), V1 (</w:t>
      </w:r>
      <m:oMath>
        <m:r>
          <m:t>0.74</m:t>
        </m:r>
      </m:oMath>
      <w:r>
        <w:t xml:space="preserve">) and V3 (</w:t>
      </w:r>
      <m:oMath>
        <m:r>
          <m:t>0.73</m:t>
        </m:r>
      </m:oMath>
      <w:r>
        <w:t xml:space="preserve">)</w:t>
      </w:r>
      <w:r>
        <w:t xml:space="preserve"> </w:t>
      </w:r>
      <w:r>
        <w:t xml:space="preserve">close behind. On the within-backbone normalised scale, V12, V20 and V3</w:t>
      </w:r>
      <w:r>
        <w:t xml:space="preserve"> </w:t>
      </w:r>
      <w:r>
        <w:t xml:space="preserve">score between 0.80 and 1.00 under LDA, ProdLDA and ETM, and V1</w:t>
      </w:r>
      <w:r>
        <w:t xml:space="preserve"> </w:t>
      </w:r>
      <w:r>
        <w:t xml:space="preserve">between 0.64 and 0.82; under HDP the four score 0.10 (V12), 0.32</w:t>
      </w:r>
      <w:r>
        <w:t xml:space="preserve"> </w:t>
      </w:r>
      <w:r>
        <w:t xml:space="preserve">(V20), 0.76 (V1) and 0.01 (V3). V20 is the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label-aware</w:t>
      </w:r>
      <w:r>
        <w:t xml:space="preserve"> </w:t>
      </w:r>
      <w:r>
        <w:t xml:space="preserve">recipe in this leading group, making it the</w:t>
      </w:r>
      <w:r>
        <w:t xml:space="preserve"> </w:t>
      </w:r>
      <w:r>
        <w:t xml:space="preserve">most cross-backbone-portable label-aware recipe in the sweep and a</w:t>
      </w:r>
      <w:r>
        <w:t xml:space="preserve"> </w:t>
      </w:r>
      <w:r>
        <w:t xml:space="preserve">near-replacement for V12 / V3 when label information is available.</w:t>
      </w:r>
      <w:r>
        <w:t xml:space="preserve"> </w:t>
      </w:r>
      <w:r>
        <w:t xml:space="preserve">V3, although it only wins coherence outright under ProdLDA, remains a</w:t>
      </w:r>
      <w:r>
        <w:t xml:space="preserve"> </w:t>
      </w:r>
      <w:r>
        <w:t xml:space="preserve">top-4 affinity recipe because it is consistently strong everywhere</w:t>
      </w:r>
      <w:r>
        <w:t xml:space="preserve"> </w:t>
      </w:r>
      <w:r>
        <w:t xml:space="preserve">except HDP.</w:t>
      </w:r>
      <w:r>
        <w:t xml:space="preserve"> </w:t>
      </w:r>
      <w:r>
        <w:rPr>
          <w:b/>
          <w:bCs/>
        </w:rPr>
        <w:t xml:space="preserve">V13 (learned VQ-VAE) has the lowest affinity</w:t>
      </w:r>
      <w:r>
        <w:t xml:space="preserve"> </w:t>
      </w:r>
      <w:r>
        <w:t xml:space="preserve">(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r>
          <m:t>0.01</m:t>
        </m:r>
      </m:oMath>
      <w:r>
        <w:t xml:space="preserve">), at or near the per-backbone minimum in all</w:t>
      </w:r>
      <w:r>
        <w:t xml:space="preserve"> </w:t>
      </w:r>
      <w:r>
        <w:t xml:space="preserve">four: none of the four backbones gives the reconstruction-optimal</w:t>
      </w:r>
      <w:r>
        <w:t xml:space="preserve"> </w:t>
      </w:r>
      <w:r>
        <w:t xml:space="preserve">VQ-VAE codebook coherent topics. Note that V8 scores low here</w:t>
      </w:r>
      <w:r>
        <w:t xml:space="preserve"> </w:t>
      </w:r>
      <w:r>
        <w:t xml:space="preserve">(</w:t>
      </w:r>
      <m:oMath>
        <m:r>
          <m:t>0.09</m:t>
        </m:r>
      </m:oMath>
      <w:r>
        <w:t xml:space="preserve">) on</w:t>
      </w:r>
      <w:r>
        <w:t xml:space="preserve"> </w:t>
      </w:r>
      <w:r>
        <w:rPr>
          <w:i/>
          <w:iCs/>
        </w:rPr>
        <w:t xml:space="preserve">coherence</w:t>
      </w:r>
      <w:r>
        <w:t xml:space="preserve"> </w:t>
      </w:r>
      <w:r>
        <w:t xml:space="preserve">affinity specifically: it is a</w:t>
      </w:r>
      <w:r>
        <w:t xml:space="preserve"> </w:t>
      </w:r>
      <w:r>
        <w:t xml:space="preserve">small-vocabulary recipe whose strength is label coupling (F-7), not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t xml:space="preserve">; the F-7 factorial below ranks it very differently.</w:t>
      </w:r>
    </w:p>
    <w:bookmarkStart w:id="32" w:name="fig:affinity-bars"/>
    <w:p>
      <w:pPr>
        <w:pStyle w:val="CaptionedFigure"/>
      </w:pPr>
      <w:r>
        <w:drawing>
          <wp:inline>
            <wp:extent cx="3733800" cy="2584938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4-affinity-bars.pd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4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Cross-backbone affinity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hyperlink w:anchor="eq:affinity">
        <w:r>
          <w:rPr>
            <w:rStyle w:val="Hyperlink"/>
          </w:rPr>
          <w:t xml:space="preserve">[eq:affinity]</w:t>
        </w:r>
      </w:hyperlink>
      <w:r>
        <w:t xml:space="preserve"> </w:t>
      </w:r>
      <w:r>
        <w:t xml:space="preserve">per recipe (Table </w:t>
      </w:r>
      <w:hyperlink w:anchor="tab:affinity">
        <w:r>
          <w:rPr>
            <w:rStyle w:val="Hyperlink"/>
          </w:rPr>
          <w:t xml:space="preserve">2</w:t>
        </w:r>
      </w:hyperlink>
      <w:r>
        <w:t xml:space="preserve">). V12 tops the ranking (</w:t>
      </w:r>
      <m:oMath>
        <m:r>
          <m:t>0.76</m:t>
        </m:r>
      </m:oMath>
      <w:r>
        <w:t xml:space="preserve">),</w:t>
      </w:r>
      <w:r>
        <w:t xml:space="preserve"> </w:t>
      </w:r>
      <w:r>
        <w:t xml:space="preserve">V20 second (</w:t>
      </w:r>
      <m:oMath>
        <m:r>
          <m:t>0.75</m:t>
        </m:r>
      </m:oMath>
      <w:r>
        <w:t xml:space="preserve">); V13 has the lowest affinity (</w:t>
      </w:r>
      <m:oMath>
        <m:r>
          <m:t>0.01</m:t>
        </m:r>
      </m:oMath>
      <w:r>
        <w:t xml:space="preserve">), at or near</w:t>
      </w:r>
      <w:r>
        <w:t xml:space="preserve"> </w:t>
      </w:r>
      <w:r>
        <w:t xml:space="preserve">the per-backbone minimum. V20 is the only label-aware recipe in the leading group.</w:t>
      </w:r>
    </w:p>
    <w:bookmarkEnd w:id="32"/>
    <w:bookmarkEnd w:id="33"/>
    <w:bookmarkStart w:id="38" w:name="subsec:f7-backbone"/>
    <w:p>
      <w:pPr>
        <w:pStyle w:val="Heading2"/>
      </w:pPr>
      <w:r>
        <w:t xml:space="preserve">F-7 NMI under each backbone: V8 cross-backbone leadership</w:t>
      </w:r>
    </w:p>
    <w:p>
      <w:pPr>
        <w:pStyle w:val="FirstParagraph"/>
      </w:pPr>
      <w:r>
        <w:t xml:space="preserve">We compute F-7, the label-normalised mutual</w:t>
      </w:r>
      <w:r>
        <w:t xml:space="preserve"> </w:t>
      </w:r>
      <w:r>
        <w:t xml:space="preserve">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hyperlink w:anchor="eq:f7">
        <w:r>
          <w:rPr>
            <w:rStyle w:val="Hyperlink"/>
          </w:rPr>
          <w:t xml:space="preserve">[eq:f7]</w:t>
        </w:r>
      </w:hyperlink>
      <w:r>
        <w:t xml:space="preserve"> </w:t>
      </w:r>
      <w:r>
        <w:t xml:space="preserve">(the asymmetric uncertainty</w:t>
      </w:r>
      <w:r>
        <w:t xml:space="preserve"> </w:t>
      </w:r>
      <w:r>
        <w:t xml:space="preserve">coefficient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, not the symmetric NMI), between the argmax</w:t>
      </w:r>
      <w:r>
        <w:t xml:space="preserve"> </w:t>
      </w:r>
      <w:r>
        <w:t xml:space="preserve">topic per document and the</w:t>
      </w:r>
      <w:r>
        <w:t xml:space="preserve"> </w:t>
      </w:r>
      <w:r>
        <w:t xml:space="preserve">ground-truth labels for</w:t>
      </w:r>
      <w:r>
        <w:t xml:space="preserve"> </w:t>
      </w:r>
      <w:r>
        <w:t xml:space="preserve">the six labelled scenes, repeated under each backbone. The procedure</w:t>
      </w:r>
      <w:r>
        <w:t xml:space="preserve"> </w:t>
      </w:r>
      <w:r>
        <w:t xml:space="preserve">is: (1) fit the backbone via its deterministic builder (LDA with the</w:t>
      </w:r>
      <w:r>
        <w:t xml:space="preserve"> </w:t>
      </w:r>
      <w:r>
        <w:t xml:space="preserve">per-recipe K of §</w:t>
      </w:r>
      <w:hyperlink w:anchor="sec:backbones">
        <w:r>
          <w:rPr>
            <w:rStyle w:val="Hyperlink"/>
          </w:rPr>
          <w:t xml:space="preserve">2</w:t>
        </w:r>
      </w:hyperlink>
      <w:r>
        <w:t xml:space="preserve">; ProdLDA and ETM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t xml:space="preserve">for every recipe in these F-7 runs; HDP with its 20-topic</w:t>
      </w:r>
      <w:r>
        <w:t xml:space="preserve"> </w:t>
      </w:r>
      <w:r>
        <w:t xml:space="preserve">truncation), (2) project</w:t>
      </w:r>
      <w:r>
        <w:t xml:space="preserve"> </w:t>
      </w:r>
      <w:r>
        <w:t xml:space="preserve">each sampled labelled pixel through the fitted model to obtain the</w:t>
      </w:r>
      <w:r>
        <w:t xml:space="preserve"> </w:t>
      </w:r>
      <w:r>
        <w:t xml:space="preserve">topic mixture</w:t>
      </w:r>
      <w: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t xml:space="preserve">, (3) take</w:t>
      </w:r>
      <w:r>
        <w:t xml:space="preserve"> </w:t>
      </w:r>
      <m:oMath>
        <m:sSubSup>
          <m:e>
            <m:r>
              <m:t>z</m:t>
            </m:r>
          </m:e>
          <m:sub>
            <m:r>
              <m:t>d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k</m:t>
            </m:r>
          </m:sub>
        </m:sSub>
        <m:sSub>
          <m:e>
            <m:r>
              <m:t>θ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(4) compute the F-7 score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q:f7">
        <w:r>
          <w:rPr>
            <w:rStyle w:val="Hyperlink"/>
          </w:rPr>
          <w:t xml:space="preserve">[eq:f7]</w:t>
        </w:r>
      </w:hyperlink>
      <w:r>
        <w:t xml:space="preserve">. For HDP we use gensim’s</w:t>
      </w:r>
      <w:r>
        <w:t xml:space="preserve"> </w:t>
      </w:r>
      <w:r>
        <w:rPr>
          <w:rStyle w:val="VerbatimChar"/>
        </w:rPr>
        <w:t xml:space="preserve">HdpModel.__getitem__</w:t>
      </w:r>
      <w:r>
        <w:t xml:space="preserve"> </w:t>
      </w:r>
      <w:r>
        <w:t xml:space="preserve">corpus projection; for ProdLDA and</w:t>
      </w:r>
      <w:r>
        <w:t xml:space="preserve"> </w:t>
      </w:r>
      <w:r>
        <w:t xml:space="preserve">ETM the trained encoder produces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 The result is a</w:t>
      </w:r>
      <w:r>
        <w:t xml:space="preserve"> </w:t>
      </w:r>
      <m:oMath>
        <m:r>
          <m:t>19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76</m:t>
        </m:r>
      </m:oMath>
      <w:r>
        <w:t xml:space="preserve">-cell matrix of six-scene means;</w:t>
      </w:r>
      <w:r>
        <w:t xml:space="preserve"> </w:t>
      </w:r>
      <w:r>
        <w:t xml:space="preserve">Table </w:t>
      </w:r>
      <w:hyperlink w:anchor="tab:f7-backbo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twelve recipes with the highest</w:t>
      </w:r>
      <w:r>
        <w:t xml:space="preserve"> </w:t>
      </w:r>
      <w:r>
        <w:t xml:space="preserve">four-backbone mean (48 cells). The per-scene values of all 76 cells</w:t>
      </w:r>
      <w:r>
        <w:t xml:space="preserve"> </w:t>
      </w:r>
      <w:r>
        <w:t xml:space="preserve">are in the code repository under</w:t>
      </w:r>
      <w:r>
        <w:t xml:space="preserve"> </w:t>
      </w:r>
      <w:r>
        <w:t xml:space="preserve">(LDA) and</w:t>
      </w:r>
      <w:r>
        <w:t xml:space="preserve"> </w:t>
      </w:r>
      <w:r>
        <w:t xml:space="preserve">(HDP, ProdLDA, ETM).</w:t>
      </w:r>
    </w:p>
    <w:bookmarkStart w:id="34" w:name="tab:f7-backbone"/>
    <w:p>
      <w:pPr>
        <w:pStyle w:val="TableCaption"/>
      </w:pPr>
      <w:r>
        <w:t xml:space="preserve">F-7 NMI mean across the six labelled scenes for the top-12</w:t>
      </w:r>
      <w:r>
        <w:t xml:space="preserve"> </w:t>
      </w:r>
      <w:r>
        <w:t xml:space="preserve">recipes ranked by 4-backbone mean. Bold = per-backbone winner.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-7 NMI mean across the six labelled scenes for the top-12 recipes ranked by 4-backbone mean. Bold = per-backbone winner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V8</w:t>
            </w:r>
            <w:r>
              <w:t xml:space="preserve"> </w:t>
            </w:r>
            <w:r>
              <w:t xml:space="preserve">(NFINDR)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 (MI-weighted)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(intensity-bin)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 (product quantisation)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 (GMM-token)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(joint band-bin)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 (UMAP coord)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 (spectral indices)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 (VQ-VAE)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 (CWT-Morlet)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 (graph-Laplacian)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(band-frequency)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0.252</w:t>
            </w:r>
          </w:p>
        </w:tc>
      </w:tr>
    </w:tbl>
    <w:bookmarkEnd w:id="34"/>
    <w:p>
      <w:pPr>
        <w:pStyle w:val="BodyText"/>
      </w:pPr>
      <w:r>
        <w:t xml:space="preserve">Fig. </w:t>
      </w:r>
      <w:hyperlink w:anchor="fig:per-scene-backbone-winner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per-scene F-7 winner</w:t>
      </w:r>
      <w:r>
        <w:t xml:space="preserve"> </w:t>
      </w:r>
      <w:r>
        <w:t xml:space="preserve">under each backbone. The F-7 backbone factorial reveals</w:t>
      </w:r>
      <w:r>
        <w:t xml:space="preserve"> </w:t>
      </w:r>
      <w:r>
        <w:rPr>
          <w:i/>
          <w:iCs/>
        </w:rPr>
        <w:t xml:space="preserve">three distinct cross-backbone families</w:t>
      </w:r>
      <w:r>
        <w:t xml:space="preserve">:</w:t>
      </w:r>
    </w:p>
    <w:bookmarkStart w:id="35" w:name="family-1-consistently-strong"/>
    <w:p>
      <w:pPr>
        <w:pStyle w:val="Heading4"/>
      </w:pPr>
      <w:r>
        <w:t xml:space="preserve">Family 1: consistently strong</w:t>
      </w:r>
    </w:p>
    <w:p>
      <w:pPr>
        <w:pStyle w:val="FirstParagraph"/>
      </w:pPr>
      <w:r>
        <w:t xml:space="preserve">V8, V20, V2. V8 is top-5</w:t>
      </w:r>
      <w:r>
        <w:t xml:space="preserve"> </w:t>
      </w:r>
      <w:r>
        <w:t xml:space="preserve">under every backbone, shares with V2 the smallest cross-backbone</w:t>
      </w:r>
      <w:r>
        <w:t xml:space="preserve"> </w:t>
      </w:r>
      <w:r>
        <w:t xml:space="preserve">standard deviation (</w:t>
      </w:r>
      <m:oMath>
        <m:r>
          <m:t>σ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for both) and leads at mean</w:t>
      </w:r>
      <w:r>
        <w:t xml:space="preserve"> </w:t>
      </w:r>
      <m:oMath>
        <m:r>
          <m:t>0.431</m:t>
        </m:r>
      </m:oMath>
      <w:r>
        <w:t xml:space="preserve"> </w:t>
      </w:r>
      <w:r>
        <w:t xml:space="preserve">(winning outright only under ProdLDA). V2 holds that small spread at a</w:t>
      </w:r>
      <w:r>
        <w:t xml:space="preserve"> </w:t>
      </w:r>
      <w:r>
        <w:t xml:space="preserve">lower level (7th under LDA and HDP); V20 is strong on average but less</w:t>
      </w:r>
      <w:r>
        <w:t xml:space="preserve"> </w:t>
      </w:r>
      <w:r>
        <w:t xml:space="preserve">cross-backbone-consistent (</w:t>
      </w:r>
      <m:oMath>
        <m:r>
          <m:t>σ</m:t>
        </m:r>
        <m:r>
          <m:rPr>
            <m:sty m:val="p"/>
          </m:rPr>
          <m:t>=</m:t>
        </m:r>
        <m:r>
          <m:t>0.12</m:t>
        </m:r>
      </m:oMath>
      <w:r>
        <w:t xml:space="preserve">, 6th under HDP) and is the</w:t>
      </w:r>
      <w:r>
        <w:t xml:space="preserve"> </w:t>
      </w:r>
      <w:r>
        <w:t xml:space="preserve">unique label-aware recipe here. All three have long documents and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t xml:space="preserve">under every backbone, so their comparison is not affected</w:t>
      </w:r>
      <w:r>
        <w:t xml:space="preserve"> </w:t>
      </w:r>
      <w:r>
        <w:t xml:space="preserve">by the topic-count difference discussed next.</w:t>
      </w:r>
    </w:p>
    <w:bookmarkEnd w:id="35"/>
    <w:bookmarkStart w:id="36" w:name="family-2-apparent-backbone-specialists"/>
    <w:p>
      <w:pPr>
        <w:pStyle w:val="Heading4"/>
      </w:pPr>
      <w:r>
        <w:t xml:space="preserve">Family 2: apparent backbone specialists</w:t>
      </w:r>
    </w:p>
    <w:p>
      <w:pPr>
        <w:pStyle w:val="FirstParagraph"/>
      </w:pPr>
      <w:r>
        <w:t xml:space="preserve">V11 (product</w:t>
      </w:r>
      <w:r>
        <w:t xml:space="preserve"> </w:t>
      </w:r>
      <w:r>
        <w:t xml:space="preserve">quantisation) wins HDP (</w:t>
      </w:r>
      <m:oMath>
        <m:r>
          <m:t>0.571</m:t>
        </m:r>
      </m:oMath>
      <w:r>
        <w:t xml:space="preserve">) and ETM (</w:t>
      </w:r>
      <m:oMath>
        <m:r>
          <m:t>0.530</m:t>
        </m:r>
      </m:oMath>
      <w:r>
        <w:t xml:space="preserve">) but collapses to</w:t>
      </w:r>
      <w:r>
        <w:t xml:space="preserve"> </w:t>
      </w:r>
      <m:oMath>
        <m:r>
          <m:t>0.292</m:t>
        </m:r>
      </m:oMath>
      <w:r>
        <w:t xml:space="preserve"> </w:t>
      </w:r>
      <w:r>
        <w:t xml:space="preserve">under LDA and</w:t>
      </w:r>
      <w:r>
        <w:t xml:space="preserve"> </w:t>
      </w:r>
      <m:oMath>
        <m:r>
          <m:t>0.088</m:t>
        </m:r>
      </m:oMath>
      <w:r>
        <w:t xml:space="preserve"> </w:t>
      </w:r>
      <w:r>
        <w:t xml:space="preserve">under ProdLDA, the widest cross-backbone</w:t>
      </w:r>
      <w:r>
        <w:t xml:space="preserve"> </w:t>
      </w:r>
      <w:r>
        <w:t xml:space="preserve">spread in the sweep. V19 (UMAP coordinates) shows a similar</w:t>
      </w:r>
      <w:r>
        <w:t xml:space="preserve"> </w:t>
      </w:r>
      <w:r>
        <w:t xml:space="preserve">HDP-favoured profile. Both recipes emit three or four tokens per</w:t>
      </w:r>
      <w:r>
        <w:t xml:space="preserve"> </w:t>
      </w:r>
      <w:r>
        <w:t xml:space="preserve">document and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under LDA, which caps F-7, bounded by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at a six-scene mean of 0.46; their HDP and ETM means</w:t>
      </w:r>
      <w:r>
        <w:t xml:space="preserve"> </w:t>
      </w:r>
      <w:r>
        <w:t xml:space="preserve">exceed that cap (§</w:t>
      </w:r>
      <w:hyperlink w:anchor="subsec:v11-mechanism">
        <w:r>
          <w:rPr>
            <w:rStyle w:val="Hyperlink"/>
          </w:rPr>
          <w:t xml:space="preserve">4.5</w:t>
        </w:r>
      </w:hyperlink>
      <w:r>
        <w:t xml:space="preserve">).</w:t>
      </w:r>
    </w:p>
    <w:bookmarkEnd w:id="36"/>
    <w:bookmarkStart w:id="37" w:name="family-3-lda-dominant"/>
    <w:p>
      <w:pPr>
        <w:pStyle w:val="Heading4"/>
      </w:pPr>
      <w:r>
        <w:t xml:space="preserve">Family 3: LDA-dominant</w:t>
      </w:r>
    </w:p>
    <w:p>
      <w:pPr>
        <w:pStyle w:val="FirstParagraph"/>
      </w:pPr>
      <w:r>
        <w:t xml:space="preserve">V12, V3, V14. Top-5 under LDA</w:t>
      </w:r>
      <w:r>
        <w:t xml:space="preserve"> </w:t>
      </w:r>
      <w:r>
        <w:t xml:space="preserve">but middle of the pack under the other backbones. V12’s F-7 LDA</w:t>
      </w:r>
      <w:r>
        <w:t xml:space="preserve"> </w:t>
      </w:r>
      <w:r>
        <w:t xml:space="preserve">win disappears entirely under HDP / ETM (where V11 wins) and gets</w:t>
      </w:r>
      <w:r>
        <w:t xml:space="preserve"> </w:t>
      </w:r>
      <w:r>
        <w:t xml:space="preserve">edged out by V8 / V2 under ProdLDA.</w:t>
      </w:r>
    </w:p>
    <w:p>
      <w:pPr>
        <w:pStyle w:val="BodyText"/>
      </w:pPr>
      <w:r>
        <w:t xml:space="preserve">The take-away is that the backbone factorial swap dimension matters</w:t>
      </w:r>
      <w:r>
        <w:t xml:space="preserve"> </w:t>
      </w:r>
      <w:r>
        <w:rPr>
          <w:i/>
          <w:iCs/>
        </w:rPr>
        <w:t xml:space="preserve">as much as the recipe dimension</w:t>
      </w:r>
      <w:r>
        <w:t xml:space="preserve">: V11 looks like a poor</w:t>
      </w:r>
      <w:r>
        <w:t xml:space="preserve"> </w:t>
      </w:r>
      <w:r>
        <w:t xml:space="preserve">choice under LDA but is the headline winner under HDP / ETM, and</w:t>
      </w:r>
      <w:r>
        <w:t xml:space="preserve"> </w:t>
      </w:r>
      <w:r>
        <w:t xml:space="preserve">V12’s LDA leadership does not generalise. This corroborates the P3</w:t>
      </w:r>
      <w:r>
        <w:t xml:space="preserve"> </w:t>
      </w:r>
      <w:r>
        <w:t xml:space="preserve">finding that no recipe-backbone choice is canonical.</w:t>
      </w:r>
    </w:p>
    <w:bookmarkEnd w:id="37"/>
    <w:bookmarkEnd w:id="38"/>
    <w:bookmarkStart w:id="43" w:name="sec:affinities"/>
    <w:p>
      <w:pPr>
        <w:pStyle w:val="Heading2"/>
      </w:pPr>
      <w:r>
        <w:t xml:space="preserve">Three backbone–recipe affinities</w:t>
      </w:r>
    </w:p>
    <w:p>
      <w:pPr>
        <w:pStyle w:val="FirstParagraph"/>
      </w:pPr>
      <w:r>
        <w:t xml:space="preserve">The F-2 factorial (Table </w:t>
      </w:r>
      <w:hyperlink w:anchor="tab:f2-factorial">
        <w:r>
          <w:rPr>
            <w:rStyle w:val="Hyperlink"/>
          </w:rPr>
          <w:t xml:space="preserve">[tab:f2-factorial]</w:t>
        </w:r>
      </w:hyperlink>
      <w:r>
        <w:t xml:space="preserve">) shows three empirical</w:t>
      </w:r>
      <w:r>
        <w:t xml:space="preserve"> </w:t>
      </w:r>
      <w:r>
        <w:t xml:space="preserve">affinities. They describe which recipe each backbone favours; the runs</w:t>
      </w:r>
      <w:r>
        <w:t xml:space="preserve"> </w:t>
      </w:r>
      <w:r>
        <w:t xml:space="preserve">do not identify why.</w:t>
      </w:r>
    </w:p>
    <w:p>
      <w:pPr>
        <w:pStyle w:val="BodyText"/>
      </w:pPr>
      <w:r>
        <w:rPr>
          <w:b/>
          <w:bCs/>
        </w:rPr>
        <w:t xml:space="preserve">LDA and ETM: dense GMM tokens.</w:t>
      </w:r>
      <w:r>
        <w:t xml:space="preserve"> </w:t>
      </w:r>
      <w:r>
        <w:t xml:space="preserve">LDA and ETM both pick V12</w:t>
      </w:r>
      <w:r>
        <w:t xml:space="preserve"> </w:t>
      </w:r>
      <w:r>
        <w:t xml:space="preserve">(GMM-token, 1600 word types from the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joint vocabulary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), with V3 and V20 close behind (LDA: V12 0.88, V20</w:t>
      </w:r>
      <w:r>
        <w:t xml:space="preserve"> </w:t>
      </w:r>
      <w:r>
        <w:t xml:space="preserve">0.85, V3 0.84; ETM: V12 0.82, V3 0.79, V20 0.77).</w:t>
      </w:r>
    </w:p>
    <w:p>
      <w:pPr>
        <w:pStyle w:val="BodyText"/>
      </w:pPr>
      <w:r>
        <w:rPr>
          <w:b/>
          <w:bCs/>
        </w:rPr>
        <w:t xml:space="preserve">HDP: sparse-event tokens.</w:t>
      </w:r>
      <w:r>
        <w:t xml:space="preserve"> </w:t>
      </w:r>
      <w:r>
        <w:t xml:space="preserve">HDP picks V7 (absorption triplets,</w:t>
      </w:r>
      <w:r>
        <w:t xml:space="preserve"> </w:t>
      </w:r>
      <w:r>
        <w:t xml:space="preserve">at most six tokens per document; 0.61), followed by V17 (0.59).</w:t>
      </w:r>
    </w:p>
    <w:p>
      <w:pPr>
        <w:pStyle w:val="BodyText"/>
      </w:pPr>
      <w:r>
        <w:rPr>
          <w:b/>
          <w:bCs/>
        </w:rPr>
        <w:t xml:space="preserve">ProdLDA: the joint (band, bin) vocabulary.</w:t>
      </w:r>
      <w:r>
        <w:t xml:space="preserve"> </w:t>
      </w:r>
      <w:r>
        <w:t xml:space="preserve">ProdLDA picks V3</w:t>
      </w:r>
      <w:r>
        <w:t xml:space="preserve"> </w:t>
      </w:r>
      <w:r>
        <w:t xml:space="preserve">(joint (band, bin) vocabulary,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Q</m:t>
        </m:r>
        <m:r>
          <m:rPr>
            <m:sty m:val="p"/>
          </m:rPr>
          <m:t>=</m:t>
        </m:r>
        <m:r>
          <m:t>1600</m:t>
        </m:r>
      </m:oMath>
      <w:r>
        <w:t xml:space="preserve"> </w:t>
      </w:r>
      <w:r>
        <w:t xml:space="preserve">types; 0.86), with</w:t>
      </w:r>
      <w:r>
        <w:t xml:space="preserve"> </w:t>
      </w:r>
      <w:r>
        <w:t xml:space="preserve">V12 second (0.83).</w:t>
      </w:r>
    </w:p>
    <w:p>
      <w:pPr>
        <w:pStyle w:val="BodyText"/>
      </w:pPr>
      <w:r>
        <w:t xml:space="preserve">ETM and the ProdLDA-labelled model share the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prior</w:t>
      </w:r>
      <w:r>
        <w:t xml:space="preserve"> </w:t>
      </w:r>
      <w:r>
        <w:t xml:space="preserve">and the amortised encoder (§</w:t>
      </w:r>
      <w:hyperlink w:anchor="sec:backbones">
        <w:r>
          <w:rPr>
            <w:rStyle w:val="Hyperlink"/>
          </w:rPr>
          <w:t xml:space="preserve">2</w:t>
        </w:r>
      </w:hyperlink>
      <w:r>
        <w:t xml:space="preserve">); the only implemented</w:t>
      </w:r>
      <w:r>
        <w:t xml:space="preserve"> </w:t>
      </w:r>
      <w:r>
        <w:t xml:space="preserve">difference is the decoder parameterisation. Their different winners</w:t>
      </w:r>
      <w:r>
        <w:t xml:space="preserve"> </w:t>
      </w:r>
      <w:r>
        <w:t xml:space="preserve">(V12 against V3) therefore come from the decoder parameterisation or</w:t>
      </w:r>
      <w:r>
        <w:t xml:space="preserve"> </w:t>
      </w:r>
      <w:r>
        <w:t xml:space="preserve">from optimisation, and no ablation in this study separates the two.</w:t>
      </w:r>
    </w:p>
    <w:bookmarkStart w:id="42" w:name="fig:per-scene-backbone-winners"/>
    <w:p>
      <w:pPr>
        <w:pStyle w:val="CaptionedFigure"/>
      </w:pPr>
      <w:r>
        <w:drawing>
          <wp:inline>
            <wp:extent cx="5067300" cy="338280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4-backbone-scene-winners.pdf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82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Per-scene F-7 NMI winner under each backbone. Tile colour</w:t>
      </w:r>
      <w:r>
        <w:t xml:space="preserve"> </w:t>
      </w:r>
      <w:r>
        <w:t xml:space="preserve">encodes the winning recipe’s family from the wordification taxonomy.</w:t>
      </w:r>
      <w:r>
        <w:t xml:space="preserve"> </w:t>
      </w:r>
      <w:r>
        <w:t xml:space="preserve">HDP’s top winner is V11 (4/6 scenes; V13 on Indian Pines, V19 (manifold</w:t>
      </w:r>
      <w:r>
        <w:t xml:space="preserve"> </w:t>
      </w:r>
      <w:r>
        <w:t xml:space="preserve">family) on Salinas); ETM also picks V11 on 3/6</w:t>
      </w:r>
      <w:r>
        <w:t xml:space="preserve"> </w:t>
      </w:r>
      <w:r>
        <w:t xml:space="preserve">scenes. LDA has the most diverse per-scene winners. ProdLDA favours</w:t>
      </w:r>
      <w:r>
        <w:t xml:space="preserve"> </w:t>
      </w:r>
      <w:r>
        <w:t xml:space="preserve">V8 / V12 / V2.</w:t>
      </w:r>
    </w:p>
    <w:bookmarkEnd w:id="42"/>
    <w:bookmarkEnd w:id="43"/>
    <w:bookmarkStart w:id="44" w:name="subsec:v11-mechanism"/>
    <w:p>
      <w:pPr>
        <w:pStyle w:val="Heading2"/>
      </w:pPr>
      <w:r>
        <w:t xml:space="preserve">V11: winner under HDP and ETM, weak under LDA and ProdLDA</w:t>
      </w:r>
    </w:p>
    <w:p>
      <w:pPr>
        <w:pStyle w:val="FirstParagraph"/>
      </w:pPr>
      <w:r>
        <w:t xml:space="preserve">V11 (product quantisation,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sub-vectors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codewords) has a vocabulary of</w:t>
      </w:r>
      <w:r>
        <w:t xml:space="preserve"> </w:t>
      </w:r>
      <m:oMath>
        <m:r>
          <m:t>M</m:t>
        </m:r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tokens, fifty times smaller</w:t>
      </w:r>
      <w:r>
        <w:t xml:space="preserve"> </w:t>
      </w:r>
      <w:r>
        <w:t xml:space="preserve">than V12’s</w:t>
      </w:r>
      <w:r>
        <w:t xml:space="preserve"> </w:t>
      </w:r>
      <m:oMath>
        <m:r>
          <m:t>B</m:t>
        </m:r>
        <m:r>
          <m:t>Q</m:t>
        </m:r>
        <m:r>
          <m:rPr>
            <m:sty m:val="p"/>
          </m:rPr>
          <m:t>≈</m:t>
        </m:r>
        <m:r>
          <m:t>1600</m:t>
        </m:r>
      </m:oMath>
      <w:r>
        <w:t xml:space="preserve">; only V2 (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), V8 (its 6–12</w:t>
      </w:r>
      <w:r>
        <w:t xml:space="preserve"> </w:t>
      </w:r>
      <w:r>
        <w:t xml:space="preserve">endmembers), V10 and V19 (</w:t>
      </w:r>
      <m:oMath>
        <m:r>
          <m:t>3</m:t>
        </m:r>
        <m:r>
          <m:t>Q</m:t>
        </m:r>
        <m:r>
          <m:rPr>
            <m:sty m:val="p"/>
          </m:rPr>
          <m:t>=</m:t>
        </m:r>
        <m:r>
          <m:t>24</m:t>
        </m:r>
      </m:oMath>
      <w:r>
        <w:t xml:space="preserve">) have smaller vocabularies.</w:t>
      </w:r>
      <w:r>
        <w:t xml:space="preserve"> </w:t>
      </w:r>
      <w:r>
        <w:t xml:space="preserve">A small vocabulary fares very differently under each backbone, but</w:t>
      </w:r>
      <w:r>
        <w:t xml:space="preserve"> </w:t>
      </w:r>
      <w:r>
        <w:t xml:space="preserve">the backbones also differ in topic count, and F-7 cannot exceed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 Under LDA, V11’s four-token documents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(§</w:t>
      </w:r>
      <w:hyperlink w:anchor="sec:backbones">
        <w:r>
          <w:rPr>
            <w:rStyle w:val="Hyperlink"/>
          </w:rPr>
          <w:t xml:space="preserve">2</w:t>
        </w:r>
      </w:hyperlink>
      <w:r>
        <w:t xml:space="preserve">), which caps F-7 at 0.40 to 0.61 across the six</w:t>
      </w:r>
      <w:r>
        <w:t xml:space="preserve"> </w:t>
      </w:r>
      <w:r>
        <w:t xml:space="preserve">scenes (six-scene mean 0.46); V11 reaches 0.77 to 0.82 of that cap on</w:t>
      </w:r>
      <w:r>
        <w:t xml:space="preserve"> </w:t>
      </w:r>
      <w:r>
        <w:t xml:space="preserve">Botswana and Salinas. The F-7 runs of ETM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t xml:space="preserve">(12 on four</w:t>
      </w:r>
      <w:r>
        <w:t xml:space="preserve"> </w:t>
      </w:r>
      <w:r>
        <w:t xml:space="preserve">scenes) and HDP keeps up to 20 topics, so V11’s 0.571 under HDP and</w:t>
      </w:r>
      <w:r>
        <w:t xml:space="preserve"> </w:t>
      </w:r>
      <w:r>
        <w:t xml:space="preserve">0.530 under ETM are out of reach of any three-topic fit. The contrast</w:t>
      </w:r>
      <w:r>
        <w:t xml:space="preserve"> </w:t>
      </w:r>
      <w:r>
        <w:t xml:space="preserve">below therefore mixes the backbone with the topic count: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Under HDP</w:t>
      </w:r>
      <w:r>
        <w:t xml:space="preserve">, V11 is the best recipe (</w:t>
      </w:r>
      <m:oMath>
        <m:r>
          <m:t>0.571</m:t>
        </m:r>
      </m:oMath>
      <w:r>
        <w:t xml:space="preserve">). HDP keeps</w:t>
      </w:r>
      <w:r>
        <w:t xml:space="preserve"> </w:t>
      </w:r>
      <w:r>
        <w:t xml:space="preserve">all of its 20 truncation topics for V11 (effective number 19.9 to</w:t>
      </w:r>
      <w:r>
        <w:t xml:space="preserve"> </w:t>
      </w:r>
      <w:r>
        <w:t xml:space="preserve">20.0 in the F-2 runs), against 1.2 to 6.2 for V12. Across the</w:t>
      </w:r>
      <w:r>
        <w:t xml:space="preserve"> </w:t>
      </w:r>
      <w:r>
        <w:t xml:space="preserve">nineteen recipes HDP’s F-7 follows the number of topics it keeps</w:t>
      </w:r>
      <w:r>
        <w:t xml:space="preserve"> </w:t>
      </w:r>
      <w:r>
        <w:t xml:space="preserve">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0.59</m:t>
        </m:r>
      </m:oMath>
      <w:r>
        <w:t xml:space="preserve">), and the recipes on which it keeps one or</w:t>
      </w:r>
      <w:r>
        <w:t xml:space="preserve"> </w:t>
      </w:r>
      <w:r>
        <w:t xml:space="preserve">two topics (V1, V4, V5, V6) score F-7 near zero.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Under ETM</w:t>
      </w:r>
      <w:r>
        <w:t xml:space="preserve"> </w:t>
      </w:r>
      <w:r>
        <w:t xml:space="preserve">(embedded decoder), the topic-word</w:t>
      </w:r>
      <w:r>
        <w:t xml:space="preserve"> </w:t>
      </w:r>
      <w:r>
        <w:t xml:space="preserve">distribution is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(</m:t>
        </m:r>
        <m:sSup>
          <m:e>
            <m:r>
              <m:t>ρ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q:etm-beta">
        <w:r>
          <w:rPr>
            <w:rStyle w:val="Hyperlink"/>
          </w:rPr>
          <w:t xml:space="preserve">[eq:etm-beta]</w:t>
        </w:r>
      </w:hyperlink>
      <w:r>
        <w:t xml:space="preserve">, with word embeddings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|</m:t>
            </m:r>
            <m:r>
              <m:t>V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and topic embedding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; for V11,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32</m:t>
        </m:r>
      </m:oMath>
      <w:r>
        <w:t xml:space="preserve">.</w:t>
      </w:r>
      <w:r>
        <w:t xml:space="preserve"> </w:t>
      </w:r>
      <w:r>
        <w:t xml:space="preserve">V11 is the best recipe under ETM (</w:t>
      </w:r>
      <m:oMath>
        <m:r>
          <m:t>0.530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Under LDA</w:t>
      </w:r>
      <w:r>
        <w:t xml:space="preserve">, V11 reaches only</w:t>
      </w:r>
      <w:r>
        <w:t xml:space="preserve"> </w:t>
      </w:r>
      <m:oMath>
        <m:r>
          <m:t>0.292</m:t>
        </m:r>
      </m:oMath>
      <w:r>
        <w:t xml:space="preserve">, below the 0.46</w:t>
      </w:r>
      <w:r>
        <w:t xml:space="preserve"> </w:t>
      </w:r>
      <w:r>
        <w:t xml:space="preserve">cap of its three topics; within that cap, topic–word distributions</w:t>
      </w:r>
      <w:r>
        <w:t xml:space="preserve"> </w:t>
      </w:r>
      <w:r>
        <w:t xml:space="preserve">that overlap strongly over only 32 tokens may further blur the</w:t>
      </w:r>
      <w:r>
        <w:t xml:space="preserve"> </w:t>
      </w:r>
      <w:r>
        <w:t xml:space="preserve">argmax topic, which the runs do not measure.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Under ProdLDA</w:t>
      </w:r>
      <w:r>
        <w:t xml:space="preserve">, V11 collapses to</w:t>
      </w:r>
      <w:r>
        <w:t xml:space="preserve"> </w:t>
      </w:r>
      <m:oMath>
        <m:r>
          <m:t>0.088</m:t>
        </m:r>
      </m:oMath>
      <w:r>
        <w:t xml:space="preserve">, near</w:t>
      </w:r>
      <w:r>
        <w:t xml:space="preserve"> </w:t>
      </w:r>
      <w:r>
        <w:t xml:space="preserve">chance, although the ProdLDA-labelled model shares ETM’s prior and</w:t>
      </w:r>
      <w:r>
        <w:t xml:space="preserve"> </w:t>
      </w:r>
      <w:r>
        <w:t xml:space="preserve">encoder. The two differ only in the decoder parameterisation, so</w:t>
      </w:r>
      <w:r>
        <w:t xml:space="preserve"> </w:t>
      </w:r>
      <w:r>
        <w:t xml:space="preserve">the collapse comes from the free topic–word matrix or from</w:t>
      </w:r>
      <w:r>
        <w:t xml:space="preserve"> </w:t>
      </w:r>
      <w:r>
        <w:t xml:space="preserve">optimisation; the runs do not separate the two.</w:t>
      </w:r>
    </w:p>
    <w:p>
      <w:pPr>
        <w:pStyle w:val="FirstParagraph"/>
      </w:pPr>
      <w:r>
        <w:t xml:space="preserve">V19 (UMAP coords, vocab</w:t>
      </w:r>
      <w:r>
        <w:t xml:space="preserve"> </w:t>
      </w:r>
      <m:oMath>
        <m:r>
          <m:rPr>
            <m:sty m:val="p"/>
          </m:rPr>
          <m:t>=</m:t>
        </m:r>
        <m:r>
          <m:t>24</m:t>
        </m:r>
      </m:oMath>
      <w:r>
        <w:t xml:space="preserve">) follows the same pattern: it is</w:t>
      </w:r>
      <w:r>
        <w:t xml:space="preserve"> </w:t>
      </w:r>
      <w:r>
        <w:t xml:space="preserve">second under HDP at 0.530, after V11 (0.571), but collapses to 0.051</w:t>
      </w:r>
      <w:r>
        <w:t xml:space="preserve"> </w:t>
      </w:r>
      <w:r>
        <w:t xml:space="preserve">under ProdLDA. The recipe–backbone choice is two-dimensional.</w:t>
      </w:r>
    </w:p>
    <w:bookmarkEnd w:id="44"/>
    <w:bookmarkEnd w:id="45"/>
    <w:bookmarkStart w:id="46" w:name="sec:recommendation"/>
    <w:p>
      <w:pPr>
        <w:pStyle w:val="Heading1"/>
      </w:pPr>
      <w:r>
        <w:t xml:space="preserve">Practical recommendation</w:t>
      </w:r>
    </w:p>
    <w:p>
      <w:pPr>
        <w:pStyle w:val="FirstParagraph"/>
      </w:pP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backbone</m:t>
        </m:r>
        <m:r>
          <m:rPr>
            <m:sty m:val="p"/>
          </m:rPr>
          <m:t>,</m:t>
        </m:r>
        <m:r>
          <m:rPr>
            <m:nor/>
            <m:sty m:val="p"/>
          </m:rPr>
          <m:t>wordification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hyper-decision in LDA-on-HSI work, not two independent choices.</w:t>
      </w:r>
      <w:r>
        <w:t xml:space="preserve"> </w:t>
      </w:r>
      <w:r>
        <w:t xml:space="preserve">Reporting V12 as the best recipe is incomplete without specifying that</w:t>
      </w:r>
      <w:r>
        <w:t xml:space="preserve"> </w:t>
      </w:r>
      <w:r>
        <w:t xml:space="preserve">the result holds for LDA and ETM; reporting V3 as the best recipe is</w:t>
      </w:r>
      <w:r>
        <w:t xml:space="preserve"> </w:t>
      </w:r>
      <w:r>
        <w:t xml:space="preserve">incomplete without specifying ProdLDA.</w:t>
      </w:r>
    </w:p>
    <w:p>
      <w:pPr>
        <w:pStyle w:val="BodyText"/>
      </w:pPr>
      <w:r>
        <w:t xml:space="preserve">We make three recommendations:</w:t>
      </w:r>
    </w:p>
    <w:p>
      <w:pPr>
        <w:numPr>
          <w:ilvl w:val="0"/>
          <w:numId w:val="1004"/>
        </w:numPr>
      </w:pPr>
      <w:r>
        <w:t xml:space="preserve">Future LDA-on-HSI papers should report the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backbone</m:t>
        </m:r>
        <m:r>
          <m:rPr>
            <m:sty m:val="p"/>
          </m:rPr>
          <m:t>,</m:t>
        </m:r>
        <m:r>
          <m:rPr>
            <m:nor/>
            <m:sty m:val="p"/>
          </m:rPr>
          <m:t>wordification</m:t>
        </m:r>
        <m:r>
          <m:rPr>
            <m:sty m:val="p"/>
          </m:rPr>
          <m:t>)</m:t>
        </m:r>
      </m:oMath>
      <w:r>
        <w:t xml:space="preserve"> </w:t>
      </w:r>
      <w:r>
        <w:t xml:space="preserve">pair explicitly in</w:t>
      </w:r>
      <w:r>
        <w:t xml:space="preserve"> </w:t>
      </w:r>
      <w:r>
        <w:t xml:space="preserve">table headers, not as separate hyperparameters.</w:t>
      </w:r>
    </w:p>
    <w:p>
      <w:pPr>
        <w:numPr>
          <w:ilvl w:val="0"/>
          <w:numId w:val="1004"/>
        </w:numPr>
      </w:pPr>
      <w:r>
        <w:t xml:space="preserve">Cross-backbone affinity</w:t>
      </w:r>
      <w:r>
        <w:t xml:space="preserve"> </w:t>
      </w:r>
      <w:hyperlink w:anchor="eq:affinity">
        <w:r>
          <w:rPr>
            <w:rStyle w:val="Hyperlink"/>
          </w:rPr>
          <w:t xml:space="preserve">[eq:affinity]</w:t>
        </w:r>
      </w:hyperlink>
      <w:r>
        <w:t xml:space="preserve"> </w:t>
      </w:r>
      <w:r>
        <w:t xml:space="preserve">is a more</w:t>
      </w:r>
      <w:r>
        <w:t xml:space="preserve"> </w:t>
      </w:r>
      <w:r>
        <w:t xml:space="preserve">informative summary than per-backbone-winner counts: it identifies</w:t>
      </w:r>
      <w:r>
        <w:t xml:space="preserve"> </w:t>
      </w:r>
      <w:r>
        <w:t xml:space="preserve">recipes that generalise across families (V12, V20, V1, V3) versus</w:t>
      </w:r>
      <w:r>
        <w:t xml:space="preserve"> </w:t>
      </w:r>
      <w:r>
        <w:t xml:space="preserve">those that only win in narrow regimes (V7 for HDP, V13 nowhere).</w:t>
      </w:r>
    </w:p>
    <w:p>
      <w:pPr>
        <w:numPr>
          <w:ilvl w:val="0"/>
          <w:numId w:val="1004"/>
        </w:numPr>
      </w:pPr>
      <w:r>
        <w:t xml:space="preserve">V1 (band-frequency) remains a defensible</w:t>
      </w:r>
      <w:r>
        <w:t xml:space="preserve"> </w:t>
      </w:r>
      <w:r>
        <w:rPr>
          <w:i/>
          <w:iCs/>
        </w:rPr>
        <w:t xml:space="preserve">reproducibility</w:t>
      </w:r>
      <w:r>
        <w:t xml:space="preserve"> </w:t>
      </w:r>
      <w:r>
        <w:t xml:space="preserve">canonical because of P3’s F-18 result, but should not be claimed</w:t>
      </w:r>
      <w:r>
        <w:t xml:space="preserve"> </w:t>
      </w:r>
      <w:r>
        <w:t xml:space="preserve">as a universal best on coherence in any backbone.</w:t>
      </w:r>
    </w:p>
    <w:bookmarkEnd w:id="46"/>
    <w:bookmarkStart w:id="47" w:name="sec: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5"/>
        </w:numPr>
      </w:pPr>
      <w:r>
        <w:t xml:space="preserve">LDVAE-T </w:t>
      </w:r>
      <w:r>
        <w:t xml:space="preserve">(Giannetti and Qureshi 2025)</w:t>
      </w:r>
      <w:r>
        <w:t xml:space="preserve">, a spectral-unmixing VAE with</w:t>
      </w:r>
      <w:r>
        <w:t xml:space="preserve"> </w:t>
      </w:r>
      <w:r>
        <w:t xml:space="preserve">a Dirichlet-prior latent (an abundance/endmember model, not an</w:t>
      </w:r>
      <w:r>
        <w:t xml:space="preserve"> </w:t>
      </w:r>
      <w:r>
        <w:t xml:space="preserve">off-the-shelf topic-model classification backbone), was considered as</w:t>
      </w:r>
      <w:r>
        <w:t xml:space="preserve"> </w:t>
      </w:r>
      <w:r>
        <w:t xml:space="preserve">a candidate fifth backbone but has no public implementation; adapting</w:t>
      </w:r>
      <w:r>
        <w:t xml:space="preserve"> </w:t>
      </w:r>
      <w:r>
        <w:t xml:space="preserve">it to the wordification factorial and adding its row is left to</w:t>
      </w:r>
      <w:r>
        <w:t xml:space="preserve"> </w:t>
      </w:r>
      <w:r>
        <w:t xml:space="preserve">future work.</w:t>
      </w:r>
    </w:p>
    <w:p>
      <w:pPr>
        <w:numPr>
          <w:ilvl w:val="0"/>
          <w:numId w:val="1005"/>
        </w:numPr>
      </w:pPr>
      <w:r>
        <w:t xml:space="preserve">The backbone labelled ProdLDA is the mixture-decoder form of</w:t>
      </w:r>
      <w:r>
        <w:t xml:space="preserve"> </w:t>
      </w:r>
      <w:hyperlink w:anchor="eq:prodlda-gen">
        <w:r>
          <w:rPr>
            <w:rStyle w:val="Hyperlink"/>
          </w:rPr>
          <w:t xml:space="preserve">[eq:prodlda-gen]</w:t>
        </w:r>
      </w:hyperlink>
      <w:r>
        <w:t xml:space="preserve">; the product-of-experts ProdLDA was not run,</w:t>
      </w:r>
      <w:r>
        <w:t xml:space="preserve"> </w:t>
      </w:r>
      <w:r>
        <w:t xml:space="preserve">and no ablation separates the decoder parameterisation from</w:t>
      </w:r>
      <w:r>
        <w:t xml:space="preserve"> </w:t>
      </w:r>
      <w:r>
        <w:t xml:space="preserve">optimisation in the ETM–ProdLDA comparison.</w:t>
      </w:r>
    </w:p>
    <w:p>
      <w:pPr>
        <w:numPr>
          <w:ilvl w:val="0"/>
          <w:numId w:val="1005"/>
        </w:numPr>
      </w:pPr>
      <w:r>
        <w:t xml:space="preserve">F-1 (Bayesian classification) is only run under LDA. Running</w:t>
      </w:r>
      <w:r>
        <w:t xml:space="preserve"> </w:t>
      </w:r>
      <w:r>
        <w:t xml:space="preserve">F-1 under HDP / ProdLDA / ETM requires extending the topic-routed</w:t>
      </w:r>
      <w:r>
        <w:t xml:space="preserve"> </w:t>
      </w:r>
      <w:r>
        <w:t xml:space="preserve">classifier pipeline to each backbone, which is left to future work.</w:t>
      </w:r>
    </w:p>
    <w:p>
      <w:pPr>
        <w:numPr>
          <w:ilvl w:val="0"/>
          <w:numId w:val="1005"/>
        </w:numPr>
      </w:pPr>
      <w:r>
        <w:t xml:space="preserve">HDP’s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effective</m:t>
            </m:r>
          </m:sub>
        </m:sSub>
      </m:oMath>
      <w:r>
        <w:t xml:space="preserve"> </w:t>
      </w:r>
      <w:r>
        <w:t xml:space="preserve">is extracted as the number of</w:t>
      </w:r>
      <w:r>
        <w:t xml:space="preserve"> </w:t>
      </w:r>
      <w:r>
        <w:t xml:space="preserve">topics holding at least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of corpus mass under the top-level</w:t>
      </w:r>
      <w:r>
        <w:t xml:space="preserve"> </w:t>
      </w:r>
      <w:r>
        <w:t xml:space="preserve">stick-breaking weights (the</w:t>
      </w:r>
      <w:r>
        <w:t xml:space="preserve"> </w:t>
      </w:r>
      <w:r>
        <w:rPr>
          <w:rStyle w:val="VerbatimChar"/>
        </w:rPr>
        <w:t xml:space="preserve">hdp_to_lda</w:t>
      </w:r>
      <w:r>
        <w:t xml:space="preserve"> </w:t>
      </w:r>
      <w:r>
        <w:t xml:space="preserve">expected topic</w:t>
      </w:r>
      <w:r>
        <w:t xml:space="preserve"> </w:t>
      </w:r>
      <w:r>
        <w:t xml:space="preserve">prevalence), feeding F-16 model-selection adequacy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effective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#</m:t>
        </m:r>
        <m:r>
          <m:rPr>
            <m:nor/>
            <m:sty m:val="p"/>
          </m:rPr>
          <m:t>classes</m:t>
        </m:r>
        <m:r>
          <m:rPr>
            <m:sty m:val="p"/>
          </m:rPr>
          <m:t>|</m:t>
        </m:r>
      </m:oMath>
      <w:r>
        <w:t xml:space="preserve">; F-16 is shown in the</w:t>
      </w:r>
      <w:r>
        <w:t xml:space="preserve"> </w:t>
      </w:r>
      <w:r>
        <w:t xml:space="preserve">interactive web application rather than tabulated here.</w:t>
      </w:r>
    </w:p>
    <w:bookmarkEnd w:id="47"/>
    <w:bookmarkStart w:id="63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Per-cell results (one JSON record per scene, recipe and backbone) are</w:t>
      </w:r>
      <w:r>
        <w:t xml:space="preserve"> </w:t>
      </w:r>
      <w:r>
        <w:t xml:space="preserve">archived in the code repository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 </w:t>
      </w:r>
      <w:r>
        <w:t xml:space="preserve">under</w:t>
      </w:r>
      <w:r>
        <w:t xml:space="preserve"> </w:t>
      </w:r>
      <w:r>
        <w:t xml:space="preserve">: and</w:t>
      </w:r>
      <w:r>
        <w:t xml:space="preserve"> </w:t>
      </w:r>
      <w:r>
        <w:t xml:space="preserve">for LDA, ,</w:t>
      </w:r>
      <w:r>
        <w:t xml:space="preserve"> </w:t>
      </w:r>
      <w:r>
        <w:t xml:space="preserve">and for F-2 and F-14</w:t>
      </w:r>
      <w:r>
        <w:t xml:space="preserve"> </w:t>
      </w:r>
      <w:r>
        <w:t xml:space="preserve">under the other three backbones, and for their</w:t>
      </w:r>
      <w:r>
        <w:t xml:space="preserve"> </w:t>
      </w:r>
      <w:r>
        <w:t xml:space="preserve">F-7.</w:t>
      </w:r>
    </w:p>
    <w:bookmarkStart w:id="62" w:name="refs"/>
    <w:bookmarkStart w:id="49" w:name="ref-dieng2020topic"/>
    <w:p>
      <w:pPr>
        <w:pStyle w:val="Bibliography"/>
      </w:pPr>
      <w:r>
        <w:t xml:space="preserve">Dieng, Adji B., Francisco J. R. Ruiz, and David M. Blei. 2020.</w:t>
      </w:r>
      <w:r>
        <w:t xml:space="preserve"> </w:t>
      </w:r>
      <w:r>
        <w:t xml:space="preserve">“Topic Modeling in Embedding Spaces.”</w:t>
      </w:r>
      <w:r>
        <w:t xml:space="preserve"> </w:t>
      </w:r>
      <w:r>
        <w:rPr>
          <w:i/>
          <w:iCs/>
        </w:rPr>
        <w:t xml:space="preserve">Transactions of the Association for Computational Linguistics</w:t>
      </w:r>
      <w:r>
        <w:t xml:space="preserve"> </w:t>
      </w:r>
      <w:r>
        <w:t xml:space="preserve">8: 439–53.</w:t>
      </w:r>
      <w:r>
        <w:t xml:space="preserve"> </w:t>
      </w:r>
      <w:hyperlink r:id="rId48">
        <w:r>
          <w:rPr>
            <w:rStyle w:val="Hyperlink"/>
          </w:rPr>
          <w:t xml:space="preserve">https://doi.org/10.1162/tacl_a_00325</w:t>
        </w:r>
      </w:hyperlink>
      <w:r>
        <w:t xml:space="preserve">.</w:t>
      </w:r>
    </w:p>
    <w:bookmarkEnd w:id="49"/>
    <w:bookmarkStart w:id="51" w:name="ref-giannetti2025ldvaet"/>
    <w:p>
      <w:pPr>
        <w:pStyle w:val="Bibliography"/>
      </w:pPr>
      <w:r>
        <w:t xml:space="preserve">Giannetti, Giancarlo, and Faisal Z. Qureshi. 2025.</w:t>
      </w:r>
      <w:r>
        <w:t xml:space="preserve"> </w:t>
      </w:r>
      <w:r>
        <w:t xml:space="preserve">“Latent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Transformer</w:t>
      </w:r>
      <w:r>
        <w:t xml:space="preserve"> </w:t>
      </w:r>
      <w:r>
        <w:t xml:space="preserve">VAE</w:t>
      </w:r>
      <w:r>
        <w:t xml:space="preserve"> </w:t>
      </w:r>
      <w:r>
        <w:t xml:space="preserve">for Hyperspectral Unmixing with Bundled Endmembers.”</w:t>
      </w:r>
      <w:r>
        <w:t xml:space="preserve"> </w:t>
      </w:r>
      <w:r>
        <w:rPr>
          <w:i/>
          <w:iCs/>
        </w:rPr>
        <w:t xml:space="preserve">arXiv Preprint arXiv:2511.17757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https://arxiv.org/abs/2511.17757</w:t>
        </w:r>
      </w:hyperlink>
      <w:r>
        <w:t xml:space="preserve">.</w:t>
      </w:r>
    </w:p>
    <w:bookmarkEnd w:id="51"/>
    <w:bookmarkStart w:id="53" w:name="ref-hoffman2010online"/>
    <w:p>
      <w:pPr>
        <w:pStyle w:val="Bibliography"/>
      </w:pPr>
      <w:r>
        <w:t xml:space="preserve">Hoffman, Matthew D., David M. Blei, and Francis R. Bach. 2010.</w:t>
      </w:r>
      <w:r>
        <w:t xml:space="preserve"> </w:t>
      </w:r>
      <w:r>
        <w:t xml:space="preserve">“Online Learning for Latent</w:t>
      </w:r>
      <w:r>
        <w:t xml:space="preserve"> </w:t>
      </w:r>
      <w:r>
        <w:t xml:space="preserve">Dirichlet</w:t>
      </w:r>
      <w:r>
        <w:t xml:space="preserve"> </w:t>
      </w:r>
      <w:r>
        <w:t xml:space="preserve">Allocation.”</w:t>
      </w:r>
      <w:r>
        <w:t xml:space="preserve"> </w:t>
      </w:r>
      <w:r>
        <w:rPr>
          <w:i/>
          <w:iCs/>
        </w:rPr>
        <w:t xml:space="preserve">Advances in Neural Information Processing Systems 23 (NIPS 2010)</w:t>
      </w:r>
      <w:r>
        <w:t xml:space="preserve">, 856–64.</w:t>
      </w:r>
      <w:r>
        <w:t xml:space="preserve"> </w:t>
      </w:r>
      <w:hyperlink r:id="rId52">
        <w:r>
          <w:rPr>
            <w:rStyle w:val="Hyperlink"/>
          </w:rPr>
          <w:t xml:space="preserve">https://papers.nips.cc/paper/3902-online-learning-for-latent-dirichlet-allocation</w:t>
        </w:r>
      </w:hyperlink>
      <w:r>
        <w:t xml:space="preserve">.</w:t>
      </w:r>
    </w:p>
    <w:bookmarkEnd w:id="53"/>
    <w:bookmarkStart w:id="55" w:name="ref-santibanezleal2026framework"/>
    <w:p>
      <w:pPr>
        <w:pStyle w:val="Bibliography"/>
      </w:pPr>
      <w:r>
        <w:t xml:space="preserve">Santibáñez-Leal, Felipe. 2026a.</w:t>
      </w:r>
      <w:r>
        <w:t xml:space="preserve"> </w:t>
      </w:r>
      <w:r>
        <w:rPr>
          <w:i/>
          <w:iCs/>
        </w:rPr>
        <w:t xml:space="preserve">Beyond Accuracy: A Multi-Axis Evaluation Framework for Interpretable Topic Models on Hyperspectral Imagery</w:t>
      </w:r>
      <w:r>
        <w:t xml:space="preserve">. Preprint, Zenodo.</w:t>
      </w:r>
      <w:r>
        <w:t xml:space="preserve"> </w:t>
      </w:r>
      <w:hyperlink r:id="rId54">
        <w:r>
          <w:rPr>
            <w:rStyle w:val="Hyperlink"/>
          </w:rPr>
          <w:t xml:space="preserve">https://doi.org/10.5281/zenodo.21504115</w:t>
        </w:r>
      </w:hyperlink>
      <w:r>
        <w:t xml:space="preserve">.</w:t>
      </w:r>
    </w:p>
    <w:bookmarkEnd w:id="55"/>
    <w:bookmarkStart w:id="57" w:name="ref-santibanezleal2026sweep"/>
    <w:p>
      <w:pPr>
        <w:pStyle w:val="Bibliography"/>
      </w:pPr>
      <w:r>
        <w:t xml:space="preserve">Santibáñez-Leal, Felipe. 2026b.</w:t>
      </w:r>
      <w:r>
        <w:t xml:space="preserve"> </w:t>
      </w:r>
      <w:r>
        <w:rPr>
          <w:i/>
          <w:iCs/>
        </w:rPr>
        <w:t xml:space="preserve">Which Wordification Matters?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Nineteen-Recipe Sweep of the Interpretable-Topic-Model Framework on Hyperspectral Imagery</w:t>
      </w:r>
      <w:r>
        <w:t xml:space="preserve">. Preprint, Zenodo.</w:t>
      </w:r>
      <w:r>
        <w:t xml:space="preserve"> </w:t>
      </w:r>
      <w:hyperlink r:id="rId56">
        <w:r>
          <w:rPr>
            <w:rStyle w:val="Hyperlink"/>
          </w:rPr>
          <w:t xml:space="preserve">https://doi.org/10.5281/zenodo.21504117</w:t>
        </w:r>
      </w:hyperlink>
      <w:r>
        <w:t xml:space="preserve">.</w:t>
      </w:r>
    </w:p>
    <w:bookmarkEnd w:id="57"/>
    <w:bookmarkStart w:id="59" w:name="ref-srivastava2017autoencoding"/>
    <w:p>
      <w:pPr>
        <w:pStyle w:val="Bibliography"/>
      </w:pPr>
      <w:r>
        <w:t xml:space="preserve">Srivastava, Akash, and Charles Sutton. 2017.</w:t>
      </w:r>
      <w:r>
        <w:t xml:space="preserve"> </w:t>
      </w:r>
      <w:r>
        <w:t xml:space="preserve">“Autoencoding Variational Inference for Topic Models.”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https://openreview.net/forum?id=BybtVK9lg</w:t>
        </w:r>
      </w:hyperlink>
      <w:r>
        <w:t xml:space="preserve">.</w:t>
      </w:r>
    </w:p>
    <w:bookmarkEnd w:id="59"/>
    <w:bookmarkStart w:id="61" w:name="ref-teh2006hdp"/>
    <w:p>
      <w:pPr>
        <w:pStyle w:val="Bibliography"/>
      </w:pPr>
      <w:r>
        <w:t xml:space="preserve">Teh, Yee Whye, Michael I. Jordan, Matthew J. Beal, and David M. Blei. 2006.</w:t>
      </w:r>
      <w:r>
        <w:t xml:space="preserve"> </w:t>
      </w:r>
      <w:r>
        <w:t xml:space="preserve">“Hierarchical</w:t>
      </w:r>
      <w:r>
        <w:t xml:space="preserve"> </w:t>
      </w:r>
      <w:r>
        <w:t xml:space="preserve">Dirichlet</w:t>
      </w:r>
      <w:r>
        <w:t xml:space="preserve"> </w:t>
      </w:r>
      <w:r>
        <w:t xml:space="preserve">Processes.”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101 (476): 1566–81.</w:t>
      </w:r>
      <w:r>
        <w:t xml:space="preserve"> </w:t>
      </w:r>
      <w:hyperlink r:id="rId60">
        <w:r>
          <w:rPr>
            <w:rStyle w:val="Hyperlink"/>
          </w:rPr>
          <w:t xml:space="preserve">https://doi.org/10.1198/016214506000000302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F. Santibáñez-Leal is with the CAOS open-research</w:t>
      </w:r>
      <w:r>
        <w:t xml:space="preserve"> </w:t>
      </w:r>
      <w:r>
        <w:t xml:space="preserve">programme, Santiago, Chile</w:t>
      </w:r>
      <w:r>
        <w:t xml:space="preserve"> </w:t>
      </w:r>
      <w:r>
        <w:t xml:space="preserve">(e-mail:</w:t>
      </w:r>
      <w:r>
        <w:t xml:space="preserve"> </w:t>
      </w:r>
      <w:r>
        <w:rPr>
          <w:rStyle w:val="VerbatimChar"/>
        </w:rPr>
        <w:t xml:space="preserve">fsantibanezleal@ug.uchile.cl</w:t>
      </w:r>
      <w:r>
        <w:t xml:space="preserve">;</w:t>
      </w:r>
      <w:r>
        <w:t xml:space="preserve"> </w:t>
      </w:r>
      <w:r>
        <w:t xml:space="preserve">ORCID: 0000-0002-0150-3246).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Companion papers:</w:t>
      </w:r>
      <w:r>
        <w:t xml:space="preserve"> </w:t>
      </w:r>
      <w:r>
        <w:rPr>
          <w:i/>
          <w:iCs/>
        </w:rPr>
        <w:t xml:space="preserve">Beyond</w:t>
      </w:r>
      <w:r>
        <w:rPr>
          <w:i/>
          <w:iCs/>
        </w:rPr>
        <w:t xml:space="preserve"> </w:t>
      </w:r>
      <w:r>
        <w:rPr>
          <w:i/>
          <w:iCs/>
        </w:rPr>
        <w:t xml:space="preserve">Accuracy</w:t>
      </w:r>
      <w:r>
        <w:t xml:space="preserve"> </w:t>
      </w:r>
      <w:r>
        <w:t xml:space="preserve">(Santibáñez-Leal 2026a)</w:t>
      </w:r>
      <w:r>
        <w:t xml:space="preserve"> </w:t>
      </w:r>
      <w:r>
        <w:t xml:space="preserve">(P1, twelve-axis</w:t>
      </w:r>
      <w:r>
        <w:t xml:space="preserve"> </w:t>
      </w:r>
      <w:r>
        <w:t xml:space="preserve">framework) and</w:t>
      </w:r>
      <w:r>
        <w:t xml:space="preserve"> </w:t>
      </w:r>
      <w:r>
        <w:rPr>
          <w:i/>
          <w:iCs/>
        </w:rPr>
        <w:t xml:space="preserve">Which Wordification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Matters?</w:t>
      </w:r>
      <w:r>
        <w:t xml:space="preserve"> </w:t>
      </w:r>
      <w:r>
        <w:t xml:space="preserve">(Santibáñez-Leal 2026b)</w:t>
      </w:r>
      <w:r>
        <w:t xml:space="preserve"> </w:t>
      </w:r>
      <w:r>
        <w:t xml:space="preserve">(P3, 19-recipe sweep under</w:t>
      </w:r>
      <w:r>
        <w:t xml:space="preserve"> </w:t>
      </w:r>
      <w:r>
        <w:t xml:space="preserve">a fixed LDA backbone). Code and derived artefacts at</w:t>
      </w:r>
      <w:r>
        <w:t xml:space="preserve"> </w:t>
      </w:r>
      <w:hyperlink r:id="rId11">
        <w:r>
          <w:rPr>
            <w:rStyle w:val="Hyperlink"/>
          </w:rPr>
          <w:t xml:space="preserve">https://github.com/fsantibanezleal/CAOS_LDA_HSI</w:t>
        </w:r>
      </w:hyperlink>
      <w:r>
        <w:t xml:space="preserve">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work has been partially funded by AMTC Basal</w:t>
      </w:r>
      <w:r>
        <w:t xml:space="preserve"> </w:t>
      </w:r>
      <w:r>
        <w:t xml:space="preserve">(ANID/PIA AFB220002) and ANID FONDECYT Postdoctorado 3220094.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df" /><Relationship Type="http://schemas.openxmlformats.org/officeDocument/2006/relationships/image" Id="rId23" Target="media/rId23.pdf" /><Relationship Type="http://schemas.openxmlformats.org/officeDocument/2006/relationships/image" Id="rId39" Target="media/rId39.pdf" /><Relationship Type="http://schemas.openxmlformats.org/officeDocument/2006/relationships/hyperlink" Id="rId50" Target="https://arxiv.org/abs/2511.17757" TargetMode="External" /><Relationship Type="http://schemas.openxmlformats.org/officeDocument/2006/relationships/hyperlink" Id="rId48" Target="https://doi.org/10.1162/tacl_a_00325" TargetMode="External" /><Relationship Type="http://schemas.openxmlformats.org/officeDocument/2006/relationships/hyperlink" Id="rId60" Target="https://doi.org/10.1198/016214506000000302" TargetMode="External" /><Relationship Type="http://schemas.openxmlformats.org/officeDocument/2006/relationships/hyperlink" Id="rId54" Target="https://doi.org/10.5281/zenodo.21504115" TargetMode="External" /><Relationship Type="http://schemas.openxmlformats.org/officeDocument/2006/relationships/hyperlink" Id="rId56" Target="https://doi.org/10.5281/zenodo.21504117" TargetMode="External" /><Relationship Type="http://schemas.openxmlformats.org/officeDocument/2006/relationships/hyperlink" Id="rId11" Target="https://github.com/fsantibanezleal/CAOS_LDA_HSI" TargetMode="External" /><Relationship Type="http://schemas.openxmlformats.org/officeDocument/2006/relationships/hyperlink" Id="rId58" Target="https://openreview.net/forum?id=BybtVK9lg" TargetMode="External" /><Relationship Type="http://schemas.openxmlformats.org/officeDocument/2006/relationships/hyperlink" Id="rId52" Target="https://papers.nips.cc/paper/3902-online-learning-for-latent-dirichlet-alloc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arxiv.org/abs/2511.17757" TargetMode="External" /><Relationship Type="http://schemas.openxmlformats.org/officeDocument/2006/relationships/hyperlink" Id="rId48" Target="https://doi.org/10.1162/tacl_a_00325" TargetMode="External" /><Relationship Type="http://schemas.openxmlformats.org/officeDocument/2006/relationships/hyperlink" Id="rId60" Target="https://doi.org/10.1198/016214506000000302" TargetMode="External" /><Relationship Type="http://schemas.openxmlformats.org/officeDocument/2006/relationships/hyperlink" Id="rId54" Target="https://doi.org/10.5281/zenodo.21504115" TargetMode="External" /><Relationship Type="http://schemas.openxmlformats.org/officeDocument/2006/relationships/hyperlink" Id="rId56" Target="https://doi.org/10.5281/zenodo.21504117" TargetMode="External" /><Relationship Type="http://schemas.openxmlformats.org/officeDocument/2006/relationships/hyperlink" Id="rId11" Target="https://github.com/fsantibanezleal/CAOS_LDA_HSI" TargetMode="External" /><Relationship Type="http://schemas.openxmlformats.org/officeDocument/2006/relationships/hyperlink" Id="rId58" Target="https://openreview.net/forum?id=BybtVK9lg" TargetMode="External" /><Relationship Type="http://schemas.openxmlformats.org/officeDocument/2006/relationships/hyperlink" Id="rId52" Target="https://papers.nips.cc/paper/3902-online-learning-for-latent-dirichlet-alloc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Which Backbone Picks Which Wordification? A Factorial Study of Topic-Model Families on Hyperspectral Imagery</dc:title>
  <dc:creator>Felipe Santibáñez-Leal ,    </dc:creator>
  <cp:keywords/>
  <dcterms:created xsi:type="dcterms:W3CDTF">2026-09-18T08:19:39Z</dcterms:created>
  <dcterms:modified xsi:type="dcterms:W3CDTF">2026-09-18T08:19:39Z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