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7.pdf" ContentType="application/pdf"/>
  <Override PartName="/word/media/rId63.pdf" ContentType="application/pdf"/>
  <Override PartName="/word/media/rId31.pdf" ContentType="application/pdf"/>
  <Override PartName="/word/media/rId13.pdf" ContentType="application/pdf"/>
  <Override PartName="/word/media/rId67.pdf" ContentType="application/pdf"/>
  <Override PartName="/word/media/rId59.pdf" ContentType="application/pdf"/>
  <Override PartName="/word/media/rId55.pdf" ContentType="application/pdf"/>
  <Override PartName="/word/media/rId25.pdf" ContentType="application/pd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Which Wordification Matters? A Nineteen-Recipe Sweep of the</w:t>
      </w:r>
      <w:r>
        <w:t xml:space="preserve"> </w:t>
      </w:r>
      <w:r>
        <w:t xml:space="preserve">Interpretable-Topic-Model Framework on Hyperspectral Imagery</w:t>
      </w:r>
    </w:p>
    <w:p>
      <w:pPr>
        <w:pStyle w:val="Author"/>
      </w:pPr>
      <w:r>
        <w:t xml:space="preserve">Felipe Santibáñez-Leal , </w:t>
      </w:r>
      <w:r>
        <w:t xml:space="preserve"> </w:t>
      </w:r>
      <w:r>
        <w:rPr>
          <w:rStyle w:val="FootnoteReference"/>
        </w:rPr>
        <w:footnoteReference w:id="9"/>
      </w:r>
      <w:r>
        <w:t xml:space="preserve"> </w:t>
      </w:r>
      <w:r>
        <w:rPr>
          <w:rStyle w:val="FootnoteReference"/>
        </w:rPr>
        <w:footnoteReference w:id="10"/>
      </w:r>
      <w:r>
        <w:t xml:space="preserve"> </w:t>
      </w:r>
      <w:r>
        <w:rPr>
          <w:rStyle w:val="FootnoteReference"/>
        </w:rPr>
        <w:footnoteReference w:id="12"/>
      </w:r>
    </w:p>
    <w:bookmarkStart w:id="16" w:name="fig:headline"/>
    <w:p>
      <w:pPr>
        <w:pStyle w:val="CaptionedFigure"/>
      </w:pPr>
      <w:r>
        <w:drawing>
          <wp:inline>
            <wp:extent cx="5334000" cy="2842971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p3-winners-headline.pdf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29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Headline. Per-axis winners on six labelled HSI scenes for</w:t>
      </w:r>
      <w:r>
        <w:t xml:space="preserve"> </w:t>
      </w:r>
      <w:r>
        <w:t xml:space="preserve">F-1 (5-fold macro-F1), F-2 (</w:t>
      </w:r>
      <m:oMath>
        <m:sSub>
          <m:e>
            <m:r>
              <m:t>c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coherence) and F-7 (topic–label</w:t>
      </w:r>
      <w:r>
        <w:t xml:space="preserve"> </w:t>
      </w:r>
      <w:r>
        <w:t xml:space="preserve">NMI). Bars: green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= winner per cell; purple = V20 (MI-weighted</w:t>
      </w:r>
      <w:r>
        <w:t xml:space="preserve"> </w:t>
      </w:r>
      <w:r>
        <w:t xml:space="preserve">bands). Indian Pines (left column): V20 wins</w:t>
      </w:r>
      <w:r>
        <w:t xml:space="preserve"> </w:t>
      </w:r>
      <w:r>
        <w:t xml:space="preserve">F-2 and F-7 outright; on F-1 macro-F1 V2 leads (0.861, V20 0.858) and</w:t>
      </w:r>
      <w:r>
        <w:t xml:space="preserve"> </w:t>
      </w:r>
      <w:r>
        <w:t xml:space="preserve">the nineteen recipes span 0.837 to 0.861. F-7 mean ranking across the six scenes is V12 0.534 /</w:t>
      </w:r>
      <w:r>
        <w:t xml:space="preserve"> </w:t>
      </w:r>
      <w:r>
        <w:t xml:space="preserve">V3 0.524 / V20 0.520, within 0.014 NMI of each other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8</m:t>
        </m:r>
      </m:oMath>
      <w:r>
        <w:t xml:space="preserve">:</w:t>
      </w:r>
      <w:r>
        <w:t xml:space="preserve"> </w:t>
      </w:r>
      <w:r>
        <w:t xml:space="preserve">a flat top, not a sharp peak (the ranking inverts to a V20 lead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32</m:t>
        </m:r>
      </m:oMath>
      <w:r>
        <w:t xml:space="preserve">).</w:t>
      </w:r>
    </w:p>
    <w:bookmarkEnd w:id="16"/>
    <w:bookmarkStart w:id="20" w:name="sec:intro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The companion paper </w:t>
      </w:r>
      <w:r>
        <w:t xml:space="preserve">(Santibáñez-Leal 2026)</w:t>
      </w:r>
      <w:r>
        <w:t xml:space="preserve"> </w:t>
      </w:r>
      <w:r>
        <w:t xml:space="preserve">(denoted P1</w:t>
      </w:r>
      <w:r>
        <w:t xml:space="preserve"> </w:t>
      </w:r>
      <w:r>
        <w:t xml:space="preserve">hereafter) proposes a twelve-axis</w:t>
      </w:r>
      <w:r>
        <w:t xml:space="preserve"> </w:t>
      </w:r>
      <w:r>
        <w:t xml:space="preserve">evaluation framework for LDA-style topic models on hyperspectral</w:t>
      </w:r>
      <w:r>
        <w:t xml:space="preserve"> </w:t>
      </w:r>
      <w:r>
        <w:t xml:space="preserve">imagery, instantiates it on a single</w:t>
      </w:r>
      <w:r>
        <w:t xml:space="preserve"> </w:t>
      </w:r>
      <w:r>
        <w:rPr>
          <w:i/>
          <w:iCs/>
        </w:rPr>
        <w:t xml:space="preserve">canonical</w:t>
      </w:r>
      <w:r>
        <w:t xml:space="preserve"> </w:t>
      </w:r>
      <w:r>
        <w:t xml:space="preserve">wordification</w:t>
      </w:r>
      <w:r>
        <w:t xml:space="preserve"> </w:t>
      </w:r>
      <w:r>
        <w:t xml:space="preserve">recipe (V1, band–frequency tokens), and shows that classification</w:t>
      </w:r>
      <w:r>
        <w:t xml:space="preserve"> </w:t>
      </w:r>
      <w:r>
        <w:t xml:space="preserve">accuracy alone is silent about reproducibility, band robustness, and</w:t>
      </w:r>
      <w:r>
        <w:t xml:space="preserve"> </w:t>
      </w:r>
      <w:r>
        <w:t xml:space="preserve">calibration. P1’s choice of V1 as canonical was a deliberate design</w:t>
      </w:r>
      <w:r>
        <w:t xml:space="preserve"> </w:t>
      </w:r>
      <w:r>
        <w:t xml:space="preserve">decision: every axis pulls a property of the same basis</w:t>
      </w:r>
      <w:r>
        <w:t xml:space="preserve"> </w:t>
      </w:r>
      <m:oMath>
        <m:r>
          <m:t>ϕ</m:t>
        </m:r>
      </m:oMath>
      <w:r>
        <w:t xml:space="preserve">, which</w:t>
      </w:r>
      <w:r>
        <w:t xml:space="preserve"> </w:t>
      </w:r>
      <w:r>
        <w:t xml:space="preserve">in turn requires that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be fixed across axes. The decision was</w:t>
      </w:r>
      <w:r>
        <w:t xml:space="preserve"> </w:t>
      </w:r>
      <w:r>
        <w:t xml:space="preserve">defensible but it leaves an obvious second question unanswered:</w:t>
      </w:r>
      <w:r>
        <w:t xml:space="preserve"> </w:t>
      </w:r>
      <w:r>
        <w:rPr>
          <w:i/>
          <w:iCs/>
        </w:rPr>
        <w:t xml:space="preserve">does the choice of wordification itself change the conclusions?</w:t>
      </w:r>
    </w:p>
    <w:p>
      <w:pPr>
        <w:pStyle w:val="BodyText"/>
      </w:pPr>
      <w:r>
        <w:t xml:space="preserve">This paper answers that question. We define a family of nineteen</w:t>
      </w:r>
      <w:r>
        <w:t xml:space="preserve"> </w:t>
      </w:r>
      <w:r>
        <w:t xml:space="preserve">wordification recipes V1–V15 and V17–V20 that span the axes of design</w:t>
      </w:r>
      <w:r>
        <w:t xml:space="preserve"> </w:t>
      </w:r>
      <w:r>
        <w:t xml:space="preserve">freedom identified by the existing P1 code base</w:t>
      </w:r>
      <w:r>
        <w:t xml:space="preserve"> </w:t>
      </w:r>
      <w:r>
        <w:t xml:space="preserve">(§</w:t>
      </w:r>
      <w:hyperlink w:anchor="sec:design-space">
        <w:r>
          <w:rPr>
            <w:rStyle w:val="Hyperlink"/>
          </w:rPr>
          <w:t xml:space="preserve">3</w:t>
        </w:r>
      </w:hyperlink>
      <w:r>
        <w:t xml:space="preserve">) and run each through the same evaluation</w:t>
      </w:r>
      <w:r>
        <w:t xml:space="preserve"> </w:t>
      </w:r>
      <w:r>
        <w:t xml:space="preserve">framework. The seven extension recipes V13–V15 and V17–V20 add</w:t>
      </w:r>
      <w:r>
        <w:t xml:space="preserve"> </w:t>
      </w:r>
      <w:r>
        <w:t xml:space="preserve">learnt-codebook tokens (V13 vector-quantised VAE, V17 sparse-coding</w:t>
      </w:r>
      <w:r>
        <w:t xml:space="preserve"> </w:t>
      </w:r>
      <w:r>
        <w:t xml:space="preserve">dictionary), signal-transform tokens (V14 continuous wavelet, V15</w:t>
      </w:r>
      <w:r>
        <w:t xml:space="preserve"> </w:t>
      </w:r>
      <w:r>
        <w:t xml:space="preserve">spectral indices), structure-aware tokens (V18 graph-Laplacian</w:t>
      </w:r>
      <w:r>
        <w:t xml:space="preserve"> </w:t>
      </w:r>
      <w:r>
        <w:t xml:space="preserve">eigenvectors, V19 UMAP coordinates) and a label-aware reweighting</w:t>
      </w:r>
      <w:r>
        <w:t xml:space="preserve"> </w:t>
      </w:r>
      <w:r>
        <w:t xml:space="preserve">(V20 mutual-information-weighted bands). The contribution is not a</w:t>
      </w:r>
      <w:r>
        <w:t xml:space="preserve"> </w:t>
      </w:r>
      <w:r>
        <w:t xml:space="preserve">new method but a comparative result:</w:t>
      </w:r>
      <w:r>
        <w:t xml:space="preserve"> </w:t>
      </w:r>
      <w:r>
        <w:rPr>
          <w:i/>
          <w:iCs/>
        </w:rPr>
        <w:t xml:space="preserve">which recipe matters for</w:t>
      </w:r>
      <w:r>
        <w:rPr>
          <w:i/>
          <w:iCs/>
        </w:rPr>
        <w:t xml:space="preserve"> </w:t>
      </w:r>
      <w:r>
        <w:rPr>
          <w:i/>
          <w:iCs/>
        </w:rPr>
        <w:t xml:space="preserve">which axis on which scene</w:t>
      </w:r>
      <w:r>
        <w:t xml:space="preserve">, and what that joint structure implies for</w:t>
      </w:r>
      <w:r>
        <w:t xml:space="preserve"> </w:t>
      </w:r>
      <w:r>
        <w:t xml:space="preserve">the choice of canonical recipe in future work. The V16 slot is</w:t>
      </w:r>
      <w:r>
        <w:t xml:space="preserve"> </w:t>
      </w:r>
      <w:r>
        <w:t xml:space="preserve">reserved for a foundation-model wordification (HyperSIGMA /</w:t>
      </w:r>
      <w:r>
        <w:t xml:space="preserve"> </w:t>
      </w:r>
      <w:r>
        <w:t xml:space="preserve">HyperspectralMAE), which is left to a follow-up study because its</w:t>
      </w:r>
      <w:r>
        <w:t xml:space="preserve"> </w:t>
      </w:r>
      <w:r>
        <w:t xml:space="preserve">inference cost would dominate the per-scene computational cost of the</w:t>
      </w:r>
      <w:r>
        <w:t xml:space="preserve"> </w:t>
      </w:r>
      <w:r>
        <w:t xml:space="preserve">labelled-scene panel.</w:t>
      </w:r>
    </w:p>
    <w:bookmarkStart w:id="17" w:name="subsec:why-sweep"/>
    <w:p>
      <w:pPr>
        <w:pStyle w:val="Heading2"/>
      </w:pPr>
      <w:r>
        <w:t xml:space="preserve">Why a sweep, not a winner</w:t>
      </w:r>
    </w:p>
    <w:p>
      <w:pPr>
        <w:pStyle w:val="FirstParagraph"/>
      </w:pPr>
      <w:r>
        <w:t xml:space="preserve">A sweep is the right unit of analysis when no recipe is universally</w:t>
      </w:r>
      <w:r>
        <w:t xml:space="preserve"> </w:t>
      </w:r>
      <w:r>
        <w:t xml:space="preserve">better. The nineteen-recipe sweep on the six labelled scenes</w:t>
      </w:r>
      <w:r>
        <w:t xml:space="preserve"> </w:t>
      </w:r>
      <w:r>
        <w:t xml:space="preserve">shows that F-2 has four distinct winners (V1, V3, V12, V20), F-7 has</w:t>
      </w:r>
      <w:r>
        <w:t xml:space="preserve"> </w:t>
      </w:r>
      <w:r>
        <w:t xml:space="preserve">four distinct winners (V3, V8, V12, V20), and the three top recipes</w:t>
      </w:r>
      <w:r>
        <w:t xml:space="preserve"> </w:t>
      </w:r>
      <w:r>
        <w:t xml:space="preserve">across F-7 mean (V12, V3, V20) lie within</w:t>
      </w:r>
      <w:r>
        <w:t xml:space="preserve"> </w:t>
      </w:r>
      <m:oMath>
        <m:r>
          <m:t>0.014</m:t>
        </m:r>
      </m:oMath>
      <w:r>
        <w:t xml:space="preserve"> </w:t>
      </w:r>
      <w:r>
        <w:t xml:space="preserve">NMI of each other.</w:t>
      </w:r>
      <w:r>
        <w:t xml:space="preserve"> </w:t>
      </w:r>
      <w:r>
        <w:t xml:space="preserve">V1 (current canonical) wins F-2 on two scenes and never wins F-7.</w:t>
      </w:r>
      <w:r>
        <w:t xml:space="preserve"> </w:t>
      </w:r>
      <w:r>
        <w:t xml:space="preserve">V20, the simplest label-aware reweighting of V3, wins both F-2</w:t>
      </w:r>
      <w:r>
        <w:t xml:space="preserve"> </w:t>
      </w:r>
      <w:r>
        <w:t xml:space="preserve">and F-7 on Indian Pines and is within 0.011 NMI of the F-7 leader on</w:t>
      </w:r>
      <w:r>
        <w:t xml:space="preserve"> </w:t>
      </w:r>
      <w:r>
        <w:t xml:space="preserve">two more scenes (Salinas-A and Kennedy SC).</w:t>
      </w:r>
      <w:r>
        <w:t xml:space="preserve"> </w:t>
      </w:r>
      <w:r>
        <w:t xml:space="preserve">Single-recipe claims invite a counter-example; the sweep avoids the</w:t>
      </w:r>
      <w:r>
        <w:t xml:space="preserve"> </w:t>
      </w:r>
      <w:r>
        <w:t xml:space="preserve">trap and shows that the wordification landscape has a flat top rather</w:t>
      </w:r>
      <w:r>
        <w:t xml:space="preserve"> </w:t>
      </w:r>
      <w:r>
        <w:t xml:space="preserve">than a sharp peak.</w:t>
      </w:r>
    </w:p>
    <w:bookmarkEnd w:id="17"/>
    <w:bookmarkStart w:id="18" w:name="subsec:contributions"/>
    <w:p>
      <w:pPr>
        <w:pStyle w:val="Heading2"/>
      </w:pPr>
      <w:r>
        <w:t xml:space="preserve">Contributions</w:t>
      </w:r>
    </w:p>
    <w:p>
      <w:pPr>
        <w:numPr>
          <w:ilvl w:val="0"/>
          <w:numId w:val="1001"/>
        </w:numPr>
      </w:pPr>
      <w:r>
        <w:t xml:space="preserve">A formal definition of the V1–V15, V17–V20 wordification</w:t>
      </w:r>
      <w:r>
        <w:t xml:space="preserve"> </w:t>
      </w:r>
      <w:r>
        <w:t xml:space="preserve">design space, spanning seven axes of freedom: token alphabet,</w:t>
      </w:r>
      <w:r>
        <w:t xml:space="preserve"> </w:t>
      </w:r>
      <w:r>
        <w:t xml:space="preserve">spatial vs. purely spectral aggregation, local vs. global</w:t>
      </w:r>
      <w:r>
        <w:t xml:space="preserve"> </w:t>
      </w:r>
      <w:r>
        <w:t xml:space="preserve">vocabulary, document length regime, signal transform, learnt vs. fixed vocabulary, and label-aware vs. label-blind weighting</w:t>
      </w:r>
      <w:r>
        <w:t xml:space="preserve"> </w:t>
      </w:r>
      <w:r>
        <w:t xml:space="preserve">(§</w:t>
      </w:r>
      <w:hyperlink w:anchor="sec:design-space">
        <w:r>
          <w:rPr>
            <w:rStyle w:val="Hyperlink"/>
          </w:rPr>
          <w:t xml:space="preserve">3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t xml:space="preserve">A per-recipe K-policy that keeps the comparison fair for</w:t>
      </w:r>
      <w:r>
        <w:t xml:space="preserve"> </w:t>
      </w:r>
      <w:r>
        <w:t xml:space="preserve">extreme document-length regimes (V7 with</w:t>
      </w:r>
      <w:r>
        <w:t xml:space="preserve"> </w:t>
      </w:r>
      <m:oMath>
        <m:r>
          <m:rPr>
            <m:sty m:val="p"/>
          </m:rPr>
          <m:t>≤</m:t>
        </m:r>
        <m:r>
          <m:t>6</m:t>
        </m:r>
      </m:oMath>
      <w:r>
        <w:t xml:space="preserve"> </w:t>
      </w:r>
      <w:r>
        <w:t xml:space="preserve">tokens per</w:t>
      </w:r>
      <w:r>
        <w:t xml:space="preserve"> </w:t>
      </w:r>
      <w:r>
        <w:t xml:space="preserve">document, V9 with 1 token per document, V19 with 3 UMAP-axis</w:t>
      </w:r>
      <w:r>
        <w:t xml:space="preserve"> </w:t>
      </w:r>
      <w:r>
        <w:t xml:space="preserve">tokens) where the canonical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12</m:t>
        </m:r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rPr>
                <m:nor/>
                <m:sty m:val="p"/>
              </m:rPr>
              <m:t>classes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from P1 over-prescribes</w:t>
      </w:r>
      <w:r>
        <w:t xml:space="preserve"> </w:t>
      </w:r>
      <w:r>
        <w:t xml:space="preserve">K (§</w:t>
      </w:r>
      <w:hyperlink w:anchor="subsec:k-policy">
        <w:r>
          <w:rPr>
            <w:rStyle w:val="Hyperlink"/>
          </w:rPr>
          <w:t xml:space="preserve">4.1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t xml:space="preserve">The nineteen-recipe result matrix on the six labelled scenes</w:t>
      </w:r>
      <w:r>
        <w:t xml:space="preserve"> </w:t>
      </w:r>
      <w:r>
        <w:t xml:space="preserve">of the P1 panel for F-1, F-2 and F-7, with unpaired bootstrap</w:t>
      </w:r>
      <w:r>
        <w:t xml:space="preserve"> </w:t>
      </w:r>
      <w:r>
        <w:t xml:space="preserve">intervals on F-1 macro-F1 for V1–V12 and paired (scene, fold)</w:t>
      </w:r>
      <w:r>
        <w:t xml:space="preserve"> </w:t>
      </w:r>
      <w:r>
        <w:t xml:space="preserve">comparisons for all nineteen recipes</w:t>
      </w:r>
      <w:r>
        <w:t xml:space="preserve"> </w:t>
      </w:r>
      <w:r>
        <w:t xml:space="preserve">(§</w:t>
      </w:r>
      <w:hyperlink w:anchor="sec:results">
        <w:r>
          <w:rPr>
            <w:rStyle w:val="Hyperlink"/>
          </w:rPr>
          <w:t xml:space="preserve">5</w:t>
        </w:r>
      </w:hyperlink>
      <w:r>
        <w:t xml:space="preserve">–</w:t>
      </w:r>
      <w:hyperlink w:anchor="sec:matrix">
        <w:r>
          <w:rPr>
            <w:rStyle w:val="Hyperlink"/>
          </w:rPr>
          <w:t xml:space="preserve">10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t xml:space="preserve">Four</w:t>
      </w:r>
      <w:r>
        <w:t xml:space="preserve"> </w:t>
      </w:r>
      <w:r>
        <w:rPr>
          <w:i/>
          <w:iCs/>
        </w:rPr>
        <w:t xml:space="preserve">axis–recipe affinities</w:t>
      </w:r>
      <w:r>
        <w:t xml:space="preserve"> </w:t>
      </w:r>
      <w:r>
        <w:t xml:space="preserve">observed in the sweep:</w:t>
      </w:r>
      <w:r>
        <w:t xml:space="preserve"> </w:t>
      </w:r>
      <w:r>
        <w:t xml:space="preserve">V3 vs. F-7 (three scene wins in the twelve-recipe view, one of them</w:t>
      </w:r>
      <w:r>
        <w:t xml:space="preserve"> </w:t>
      </w:r>
      <w:r>
        <w:t xml:space="preserve">by 0.002; ahead of V1 on four of five scenes), V12 vs. F-2 on dense regimes, V20 vs. F-7</w:t>
      </w:r>
      <w:r>
        <w:t xml:space="preserve"> </w:t>
      </w:r>
      <w:r>
        <w:t xml:space="preserve">NMI on label-information-bearing scenes, and V18 vs. F-7 on</w:t>
      </w:r>
      <w:r>
        <w:t xml:space="preserve"> </w:t>
      </w:r>
      <w:r>
        <w:t xml:space="preserve">manifold-shaped scenes (Pavia U, Salinas) among the unsupervised</w:t>
      </w:r>
      <w:r>
        <w:t xml:space="preserve"> </w:t>
      </w:r>
      <w:r>
        <w:t xml:space="preserve">structure-aware extension recipes; a fifth, V7 vs. F-9 on HIDSAG, is stated</w:t>
      </w:r>
      <w:r>
        <w:t xml:space="preserve"> </w:t>
      </w:r>
      <w:r>
        <w:t xml:space="preserve">as a hypothesis that this study does not test</w:t>
      </w:r>
      <w:r>
        <w:t xml:space="preserve"> </w:t>
      </w:r>
      <w:r>
        <w:t xml:space="preserve">(§</w:t>
      </w:r>
      <w:hyperlink w:anchor="sec:affinities">
        <w:r>
          <w:rPr>
            <w:rStyle w:val="Hyperlink"/>
          </w:rPr>
          <w:t xml:space="preserve">12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t xml:space="preserve">A revised recommendation for the role of V1 going forward:</w:t>
      </w:r>
      <w:r>
        <w:t xml:space="preserve"> </w:t>
      </w:r>
      <w:r>
        <w:rPr>
          <w:i/>
          <w:iCs/>
        </w:rPr>
        <w:t xml:space="preserve">a reproducibility default, not a universal best</w:t>
      </w:r>
      <w:r>
        <w:t xml:space="preserve"> </w:t>
      </w:r>
      <w:r>
        <w:t xml:space="preserve">(§</w:t>
      </w:r>
      <w:hyperlink w:anchor="sec:recommendation">
        <w:r>
          <w:rPr>
            <w:rStyle w:val="Hyperlink"/>
          </w:rPr>
          <w:t xml:space="preserve">13</w:t>
        </w:r>
      </w:hyperlink>
      <w:r>
        <w:t xml:space="preserve">).</w:t>
      </w:r>
    </w:p>
    <w:bookmarkEnd w:id="18"/>
    <w:bookmarkStart w:id="19" w:name="paper-organisation"/>
    <w:p>
      <w:pPr>
        <w:pStyle w:val="Heading2"/>
      </w:pPr>
      <w:r>
        <w:t xml:space="preserve">Paper organisation</w:t>
      </w:r>
    </w:p>
    <w:p>
      <w:pPr>
        <w:pStyle w:val="FirstParagraph"/>
      </w:pPr>
      <w:r>
        <w:t xml:space="preserve">§</w:t>
      </w:r>
      <w:hyperlink w:anchor="sec:design-space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formalises the nineteen recipes.</w:t>
      </w:r>
      <w:r>
        <w:t xml:space="preserve"> </w:t>
      </w:r>
      <w:r>
        <w:t xml:space="preserve">§</w:t>
      </w:r>
      <w:hyperlink w:anchor="sec:method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states the per-recipe K-policy and the rest of the</w:t>
      </w:r>
      <w:r>
        <w:t xml:space="preserve"> </w:t>
      </w:r>
      <w:r>
        <w:t xml:space="preserve">experimental setup (carried over verbatim from P1 except where noted).</w:t>
      </w:r>
      <w:r>
        <w:t xml:space="preserve"> </w:t>
      </w:r>
      <w:r>
        <w:t xml:space="preserve">§</w:t>
      </w:r>
      <w:hyperlink w:anchor="sec:results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reports F-1 (classification),</w:t>
      </w:r>
      <w:r>
        <w:t xml:space="preserve"> </w:t>
      </w:r>
      <w:r>
        <w:t xml:space="preserve">§</w:t>
      </w:r>
      <w:hyperlink w:anchor="sec:f2-results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F-2 (coherence), §</w:t>
      </w:r>
      <w:hyperlink w:anchor="sec:f7-results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F-7</w:t>
      </w:r>
      <w:r>
        <w:t xml:space="preserve"> </w:t>
      </w:r>
      <w:r>
        <w:t xml:space="preserve">(topic–label coupling). §</w:t>
      </w:r>
      <w:hyperlink w:anchor="sec:f-extension-results">
        <w:r>
          <w:rPr>
            <w:rStyle w:val="Hyperlink"/>
          </w:rPr>
          <w:t xml:space="preserve">8</w:t>
        </w:r>
      </w:hyperlink>
      <w:r>
        <w:t xml:space="preserve"> </w:t>
      </w:r>
      <w:r>
        <w:t xml:space="preserve">narrows</w:t>
      </w:r>
      <w:r>
        <w:t xml:space="preserve"> </w:t>
      </w:r>
      <w:r>
        <w:t xml:space="preserve">F-2 and F-7 to the V13–V20 extension and discusses each extension</w:t>
      </w:r>
      <w:r>
        <w:t xml:space="preserve"> </w:t>
      </w:r>
      <w:r>
        <w:t xml:space="preserve">recipe mechanistically. §</w:t>
      </w:r>
      <w:hyperlink w:anchor="sec:matrix">
        <w:r>
          <w:rPr>
            <w:rStyle w:val="Hyperlink"/>
          </w:rPr>
          <w:t xml:space="preserve">10</w:t>
        </w:r>
      </w:hyperlink>
      <w:r>
        <w:t xml:space="preserve"> </w:t>
      </w:r>
      <w:r>
        <w:t xml:space="preserve">stitches the per-axis</w:t>
      </w:r>
      <w:r>
        <w:t xml:space="preserve"> </w:t>
      </w:r>
      <w:r>
        <w:t xml:space="preserve">results into the joint matrix. §</w:t>
      </w:r>
      <w:hyperlink w:anchor="sec:affinities">
        <w:r>
          <w:rPr>
            <w:rStyle w:val="Hyperlink"/>
          </w:rPr>
          <w:t xml:space="preserve">12</w:t>
        </w:r>
      </w:hyperlink>
      <w:r>
        <w:t xml:space="preserve"> </w:t>
      </w:r>
      <w:r>
        <w:t xml:space="preserve">discusses the</w:t>
      </w:r>
      <w:r>
        <w:t xml:space="preserve"> </w:t>
      </w:r>
      <w:r>
        <w:t xml:space="preserve">four observed axis–recipe affinities and one hypothesis; §</w:t>
      </w:r>
      <w:hyperlink w:anchor="sec:recommendation">
        <w:r>
          <w:rPr>
            <w:rStyle w:val="Hyperlink"/>
          </w:rPr>
          <w:t xml:space="preserve">13</w:t>
        </w:r>
      </w:hyperlink>
      <w:r>
        <w:t xml:space="preserve"> </w:t>
      </w:r>
      <w:r>
        <w:t xml:space="preserve">makes the canonical-default recommendation; §</w:t>
      </w:r>
      <w:hyperlink w:anchor="sec:limitations">
        <w:r>
          <w:rPr>
            <w:rStyle w:val="Hyperlink"/>
          </w:rPr>
          <w:t xml:space="preserve">14</w:t>
        </w:r>
      </w:hyperlink>
      <w:r>
        <w:t xml:space="preserve"> </w:t>
      </w:r>
      <w:r>
        <w:t xml:space="preserve">notes limitations (the nanopq seeding issue on V11; the</w:t>
      </w:r>
      <w:r>
        <w:t xml:space="preserve"> </w:t>
      </w:r>
      <w:r>
        <w:t xml:space="preserve">sliding-window estimator gap for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I</m:t>
            </m:r>
          </m:sub>
        </m:sSub>
      </m:oMath>
      <w:r>
        <w:t xml:space="preserve"> </w:t>
      </w:r>
      <w:r>
        <w:t xml:space="preserve">on dense recipes; the</w:t>
      </w:r>
      <w:r>
        <w:t xml:space="preserve"> </w:t>
      </w:r>
      <w:r>
        <w:t xml:space="preserve">deferred F-3 / F-4 / F-5 / F-8 / F-9 / F-10 / F-11 / F-12 sweeps; the</w:t>
      </w:r>
      <w:r>
        <w:t xml:space="preserve"> </w:t>
      </w:r>
      <w:r>
        <w:t xml:space="preserve">V16 foundation-model wordification deferred to a follow-up).</w:t>
      </w:r>
      <w:r>
        <w:t xml:space="preserve"> </w:t>
      </w:r>
      <w:r>
        <w:t xml:space="preserve">Appendix </w:t>
      </w:r>
      <w:hyperlink w:anchor="app:full-matrix">
        <w:r>
          <w:rPr>
            <w:rStyle w:val="Hyperlink"/>
          </w:rPr>
          <w:t xml:space="preserve">16</w:t>
        </w:r>
      </w:hyperlink>
      <w:r>
        <w:t xml:space="preserve"> </w:t>
      </w:r>
      <w:r>
        <w:t xml:space="preserve">reproduces the full 19-recipe matrices.</w:t>
      </w:r>
    </w:p>
    <w:bookmarkEnd w:id="19"/>
    <w:bookmarkEnd w:id="20"/>
    <w:bookmarkStart w:id="24" w:name="sec:related"/>
    <w:p>
      <w:pPr>
        <w:pStyle w:val="Heading1"/>
      </w:pPr>
      <w:r>
        <w:t xml:space="preserve">Related work</w:t>
      </w:r>
    </w:p>
    <w:bookmarkStart w:id="21" w:name="topic-models"/>
    <w:p>
      <w:pPr>
        <w:pStyle w:val="Heading4"/>
      </w:pPr>
      <w:r>
        <w:t xml:space="preserve">Topic models</w:t>
      </w:r>
    </w:p>
    <w:p>
      <w:pPr>
        <w:pStyle w:val="FirstParagraph"/>
      </w:pPr>
      <w:r>
        <w:t xml:space="preserve">Latent Dirichlet allocation</w:t>
      </w:r>
      <w:r>
        <w:t xml:space="preserve"> </w:t>
      </w:r>
      <w:r>
        <w:t xml:space="preserve">(Blei et al. 2003)</w:t>
      </w:r>
      <w:r>
        <w:t xml:space="preserve"> </w:t>
      </w:r>
      <w:r>
        <w:t xml:space="preserve">and its collapsed-Gibbs</w:t>
      </w:r>
      <w:r>
        <w:t xml:space="preserve"> </w:t>
      </w:r>
      <w:r>
        <w:t xml:space="preserve">(Griffiths and Steyvers 2004)</w:t>
      </w:r>
      <w:r>
        <w:t xml:space="preserve"> </w:t>
      </w:r>
      <w:r>
        <w:t xml:space="preserve">and online-variational</w:t>
      </w:r>
      <w:r>
        <w:t xml:space="preserve"> </w:t>
      </w:r>
      <w:r>
        <w:t xml:space="preserve">(Hoffman et al. 2010)</w:t>
      </w:r>
      <w:r>
        <w:t xml:space="preserve"> </w:t>
      </w:r>
      <w:r>
        <w:t xml:space="preserve">estimators are the</w:t>
      </w:r>
      <w:r>
        <w:t xml:space="preserve"> </w:t>
      </w:r>
      <w:r>
        <w:t xml:space="preserve">backbone this paper sweeps over; we use the online-VB implementation</w:t>
      </w:r>
      <w:r>
        <w:t xml:space="preserve"> </w:t>
      </w:r>
      <w:hyperlink w:anchor="eq:lda-gen">
        <w:r>
          <w:rPr>
            <w:rStyle w:val="Hyperlink"/>
          </w:rPr>
          <w:t xml:space="preserve">[eq:lda-gen]</w:t>
        </w:r>
      </w:hyperlink>
      <w:r>
        <w:t xml:space="preserve">. The nonparametric hierarchical Dirichlet process</w:t>
      </w:r>
      <w:r>
        <w:t xml:space="preserve"> </w:t>
      </w:r>
      <w:r>
        <w:t xml:space="preserve">(Teh et al. 2006)</w:t>
      </w:r>
      <w:r>
        <w:t xml:space="preserve"> </w:t>
      </w:r>
      <w:hyperlink w:anchor="eq:hdp-gen">
        <w:r>
          <w:rPr>
            <w:rStyle w:val="Hyperlink"/>
          </w:rPr>
          <w:t xml:space="preserve">[eq:hdp-gen]</w:t>
        </w:r>
      </w:hyperlink>
      <w:r>
        <w:t xml:space="preserve"> </w:t>
      </w:r>
      <w:r>
        <w:t xml:space="preserve">and the neural topic models</w:t>
      </w:r>
      <w:r>
        <w:t xml:space="preserve"> </w:t>
      </w:r>
      <w:r>
        <w:t xml:space="preserve">ProdLDA</w:t>
      </w:r>
      <w:r>
        <w:t xml:space="preserve"> </w:t>
      </w:r>
      <w:r>
        <w:t xml:space="preserve">(Srivastava and Sutton 2017)</w:t>
      </w:r>
      <w:r>
        <w:t xml:space="preserve"> </w:t>
      </w:r>
      <w:hyperlink w:anchor="eq:prodlda-gen">
        <w:r>
          <w:rPr>
            <w:rStyle w:val="Hyperlink"/>
          </w:rPr>
          <w:t xml:space="preserve">[eq:prodlda-gen]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the embedded topic model</w:t>
      </w:r>
      <w:r>
        <w:t xml:space="preserve"> </w:t>
      </w:r>
      <w:r>
        <w:t xml:space="preserve">(Dieng et al. 2020)</w:t>
      </w:r>
      <w:r>
        <w:t xml:space="preserve"> </w:t>
      </w:r>
      <w:hyperlink w:anchor="eq:etm-beta">
        <w:r>
          <w:rPr>
            <w:rStyle w:val="Hyperlink"/>
          </w:rPr>
          <w:t xml:space="preserve">[eq:etm-beta]</w:t>
        </w:r>
      </w:hyperlink>
      <w:r>
        <w:t xml:space="preserve"> </w:t>
      </w:r>
      <w:r>
        <w:t xml:space="preserve">(the latter built on neural variational inference</w:t>
      </w:r>
      <w:r>
        <w:t xml:space="preserve"> </w:t>
      </w:r>
      <w:r>
        <w:t xml:space="preserve">(Miao et al. 2016)</w:t>
      </w:r>
      <w:r>
        <w:t xml:space="preserve"> </w:t>
      </w:r>
      <w:r>
        <w:t xml:space="preserve">and the variational autoencoder</w:t>
      </w:r>
      <w:r>
        <w:t xml:space="preserve"> </w:t>
      </w:r>
      <w:r>
        <w:t xml:space="preserve">(Kingma and Welling 2014)</w:t>
      </w:r>
      <w:r>
        <w:t xml:space="preserve">) enter as the</w:t>
      </w:r>
      <w:r>
        <w:t xml:space="preserve"> </w:t>
      </w:r>
      <w:r>
        <w:t xml:space="preserve">alternative backbones of the cross-backbone factorial</w:t>
      </w:r>
      <w:r>
        <w:t xml:space="preserve"> </w:t>
      </w:r>
      <w:r>
        <w:t xml:space="preserve">(§</w:t>
      </w:r>
      <w:hyperlink w:anchor="sec:extensions">
        <w:r>
          <w:rPr>
            <w:rStyle w:val="Hyperlink"/>
          </w:rPr>
          <w:t xml:space="preserve">11</w:t>
        </w:r>
      </w:hyperlink>
      <w:r>
        <w:t xml:space="preserve">). The model run under the ProdLDA label is the</w:t>
      </w:r>
      <w:r>
        <w:t xml:space="preserve"> </w:t>
      </w:r>
      <w:r>
        <w:t xml:space="preserve">mixture-decoder form of Srivastava and Sutton’s amortised topic model</w:t>
      </w:r>
      <w:r>
        <w:t xml:space="preserve"> </w:t>
      </w:r>
      <w:r>
        <w:t xml:space="preserve">(their NVLDA): a standard normal prior</w:t>
      </w:r>
      <w:r>
        <w:t xml:space="preserve"> </w:t>
      </w:r>
      <m:oMath>
        <m:sSub>
          <m:e>
            <m:r>
              <m:t>δ</m:t>
            </m:r>
          </m:e>
          <m:sub>
            <m:r>
              <m:t>d</m:t>
            </m:r>
          </m:sub>
        </m:sSub>
        <m:r>
          <m:rPr>
            <m:sty m:val="p"/>
          </m:rPr>
          <m:t>∼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θ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f</m:t>
        </m:r>
        <m:r>
          <m:rPr>
            <m:sty m:val="p"/>
          </m:rPr>
          <m:t>t</m:t>
        </m:r>
        <m:r>
          <m:rPr>
            <m:sty m:val="p"/>
          </m:rPr>
          <m:t>m</m:t>
        </m:r>
        <m:r>
          <m:rPr>
            <m:sty m:val="p"/>
          </m:rPr>
          <m:t>a</m:t>
        </m:r>
        <m:r>
          <m:rPr>
            <m:sty m:val="p"/>
          </m:rPr>
          <m:t>x</m:t>
        </m:r>
        <m:r>
          <m:rPr>
            <m:sty m:val="p"/>
          </m:rPr>
          <m:t>(</m:t>
        </m:r>
        <m:sSub>
          <m:e>
            <m:r>
              <m:t>δ</m:t>
            </m:r>
          </m:e>
          <m:sub>
            <m:r>
              <m:t>d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d</m:t>
            </m:r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(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θ</m:t>
                </m:r>
              </m:e>
              <m:sub>
                <m:r>
                  <m:t>d</m:t>
                </m:r>
                <m:r>
                  <m:t>k</m:t>
                </m:r>
              </m:sub>
            </m:sSub>
          </m:e>
        </m:nary>
        <m:sSub>
          <m:e>
            <m:r>
              <m:t>β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β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f</m:t>
        </m:r>
        <m:r>
          <m:rPr>
            <m:sty m:val="p"/>
          </m:rPr>
          <m:t>t</m:t>
        </m:r>
        <m:r>
          <m:rPr>
            <m:sty m:val="p"/>
          </m:rPr>
          <m:t>m</m:t>
        </m:r>
        <m:r>
          <m:rPr>
            <m:sty m:val="p"/>
          </m:rPr>
          <m:t>a</m:t>
        </m:r>
        <m:r>
          <m:rPr>
            <m:sty m:val="p"/>
          </m:rPr>
          <m:t>x</m:t>
        </m:r>
        <m:r>
          <m:rPr>
            <m:sty m:val="p"/>
          </m:rPr>
          <m:t>(</m:t>
        </m:r>
        <m:sSub>
          <m:e>
            <m:r>
              <m:t>ω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 free topic–word logits</w:t>
      </w:r>
      <w:r>
        <w:t xml:space="preserve"> </w:t>
      </w:r>
      <m:oMath>
        <m:sSub>
          <m:e>
            <m:r>
              <m:t>ω</m:t>
            </m:r>
          </m:e>
          <m:sub>
            <m:r>
              <m:t>k</m:t>
            </m:r>
          </m:sub>
        </m:sSub>
      </m:oMath>
      <w:r>
        <w:t xml:space="preserve">; the product-of-experts decoder that</w:t>
      </w:r>
      <w:r>
        <w:t xml:space="preserve"> </w:t>
      </w:r>
      <w:r>
        <w:t xml:space="preserve">defines ProdLDA was not run. ETM has the same prior and amortised encoder</w:t>
      </w:r>
      <w:r>
        <w:t xml:space="preserve"> </w:t>
      </w:r>
      <w:r>
        <w:t xml:space="preserve">and the decoder</w:t>
      </w:r>
      <w:r>
        <w:t xml:space="preserve"> </w:t>
      </w:r>
      <m:oMath>
        <m:sSub>
          <m:e>
            <m:r>
              <m:t>β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f</m:t>
        </m:r>
        <m:r>
          <m:rPr>
            <m:sty m:val="p"/>
          </m:rPr>
          <m:t>t</m:t>
        </m:r>
        <m:r>
          <m:rPr>
            <m:sty m:val="p"/>
          </m:rPr>
          <m:t>m</m:t>
        </m:r>
        <m:r>
          <m:rPr>
            <m:sty m:val="p"/>
          </m:rPr>
          <m:t>a</m:t>
        </m:r>
        <m:r>
          <m:rPr>
            <m:sty m:val="p"/>
          </m:rPr>
          <m:t>x</m:t>
        </m:r>
        <m:r>
          <m:rPr>
            <m:sty m:val="p"/>
          </m:rPr>
          <m:t>(</m:t>
        </m:r>
        <m:sSup>
          <m:e>
            <m:r>
              <m:t>ρ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t>α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word</w:t>
      </w:r>
      <w:r>
        <w:t xml:space="preserve"> </w:t>
      </w:r>
      <w:r>
        <w:t xml:space="preserve">embeddings of dimension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 a mixture likelihood, so the two</w:t>
      </w:r>
      <w:r>
        <w:t xml:space="preserve"> </w:t>
      </w:r>
      <w:r>
        <w:t xml:space="preserve">neural backbones differ only in the decoder parameterisation (a free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|</m:t>
        </m:r>
        <m:r>
          <m:t>V</m:t>
        </m:r>
        <m:r>
          <m:rPr>
            <m:sty m:val="p"/>
          </m:rPr>
          <m:t>|</m:t>
        </m:r>
      </m:oMath>
      <w:r>
        <w:t xml:space="preserve"> </w:t>
      </w:r>
      <w:r>
        <w:t xml:space="preserve">topic–word matrix against a rank-</w:t>
      </w:r>
      <m:oMath>
        <m:r>
          <m:t>L</m:t>
        </m:r>
      </m:oMath>
      <w:r>
        <w:t xml:space="preserve"> </w:t>
      </w:r>
      <w:r>
        <w:t xml:space="preserve">factorisation).</w:t>
      </w:r>
      <w:r>
        <w:t xml:space="preserve"> </w:t>
      </w:r>
      <w:r>
        <w:t xml:space="preserve">Model selection over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informed by the</w:t>
      </w:r>
      <w:r>
        <w:t xml:space="preserve"> </w:t>
      </w:r>
      <w:r>
        <w:t xml:space="preserve">estimation-and-selection analysis of</w:t>
      </w:r>
      <w:r>
        <w:t xml:space="preserve"> </w:t>
      </w:r>
      <w:r>
        <w:t xml:space="preserve">(Taddy 2012)</w:t>
      </w:r>
      <w:r>
        <w:t xml:space="preserve">.</w:t>
      </w:r>
    </w:p>
    <w:bookmarkEnd w:id="21"/>
    <w:bookmarkStart w:id="22" w:name="X068f82b27d5501861f0fbe162130ac6977cec2e"/>
    <w:p>
      <w:pPr>
        <w:pStyle w:val="Heading4"/>
      </w:pPr>
      <w:r>
        <w:t xml:space="preserve">LDA and topic models on hyperspectral and spectral data</w:t>
      </w:r>
    </w:p>
    <w:p>
      <w:pPr>
        <w:pStyle w:val="FirstParagraph"/>
      </w:pPr>
      <w:r>
        <w:t xml:space="preserve">Probabilistic topic models have been applied to spectral data for</w:t>
      </w:r>
      <w:r>
        <w:t xml:space="preserve"> </w:t>
      </w:r>
      <w:r>
        <w:t xml:space="preserve">subpixel unmixing</w:t>
      </w:r>
      <w:r>
        <w:t xml:space="preserve"> </w:t>
      </w:r>
      <w:r>
        <w:t xml:space="preserve">(Zou and Zare 2017)</w:t>
      </w:r>
      <w:r>
        <w:t xml:space="preserve">, plant-phenotyping spectroscopy</w:t>
      </w:r>
      <w:r>
        <w:t xml:space="preserve"> </w:t>
      </w:r>
      <w:r>
        <w:t xml:space="preserve">(Wahabzada et al. 2016)</w:t>
      </w:r>
      <w:r>
        <w:t xml:space="preserve">, and geometallurgical estimation from</w:t>
      </w:r>
      <w:r>
        <w:t xml:space="preserve"> </w:t>
      </w:r>
      <w:r>
        <w:t xml:space="preserve">hyperspectral core imagery</w:t>
      </w:r>
      <w:r>
        <w:t xml:space="preserve"> </w:t>
      </w:r>
      <w:r>
        <w:t xml:space="preserve">(Santibañez-Leal et al. 2022)</w:t>
      </w:r>
      <w:r>
        <w:t xml:space="preserve">, which</w:t>
      </w:r>
      <w:r>
        <w:t xml:space="preserve"> </w:t>
      </w:r>
      <w:r>
        <w:t xml:space="preserve">introduced the band–frequency document recipes that V1–V3 generalise</w:t>
      </w:r>
      <w:r>
        <w:t xml:space="preserve"> </w:t>
      </w:r>
      <w:r>
        <w:t xml:space="preserve">here. The broader hyperspectral classification and unmixing literature</w:t>
      </w:r>
      <w:r>
        <w:t xml:space="preserve"> </w:t>
      </w:r>
      <w:r>
        <w:t xml:space="preserve">(Plaza et al. 2009; Camps-Valls et al. 2014; Bioucas-Dias et al. 2012)</w:t>
      </w:r>
      <w:r>
        <w:t xml:space="preserve"> </w:t>
      </w:r>
      <w:r>
        <w:t xml:space="preserve">supplies the endmember-extraction machinery behind V8: NFINDR-style</w:t>
      </w:r>
      <w:r>
        <w:t xml:space="preserve"> </w:t>
      </w:r>
      <w:r>
        <w:t xml:space="preserve">simplex-vertex endmembers, with vertex component analysis</w:t>
      </w:r>
      <w:r>
        <w:t xml:space="preserve"> </w:t>
      </w:r>
      <w:r>
        <w:t xml:space="preserve">(Nascimento and Bioucas-Dias 2005)</w:t>
      </w:r>
      <w:r>
        <w:t xml:space="preserve"> </w:t>
      </w:r>
      <w:r>
        <w:t xml:space="preserve">as the closely-related fast alternative and</w:t>
      </w:r>
      <w:r>
        <w:t xml:space="preserve"> </w:t>
      </w:r>
      <w:r>
        <w:t xml:space="preserve">(Borsoi et al. 2021)</w:t>
      </w:r>
      <w:r>
        <w:t xml:space="preserve"> </w:t>
      </w:r>
      <w:r>
        <w:t xml:space="preserve">surveying spectral-variability effects on</w:t>
      </w:r>
      <w:r>
        <w:t xml:space="preserve"> </w:t>
      </w:r>
      <w:r>
        <w:t xml:space="preserve">the abundances V8 quantises.</w:t>
      </w:r>
    </w:p>
    <w:bookmarkEnd w:id="22"/>
    <w:bookmarkStart w:id="23" w:name="coherence-reliability-and-evaluation"/>
    <w:p>
      <w:pPr>
        <w:pStyle w:val="Heading4"/>
      </w:pPr>
      <w:r>
        <w:t xml:space="preserve">Coherence, reliability, and evaluation</w:t>
      </w:r>
    </w:p>
    <w:p>
      <w:pPr>
        <w:pStyle w:val="FirstParagraph"/>
      </w:pPr>
      <w:r>
        <w:t xml:space="preserve">F-2 uses the</w:t>
      </w:r>
      <w:r>
        <w:t xml:space="preserve"> </w:t>
      </w:r>
      <m:oMath>
        <m:sSub>
          <m:e>
            <m:r>
              <m:t>c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coherence of</w:t>
      </w:r>
      <w:r>
        <w:t xml:space="preserve"> </w:t>
      </w:r>
      <w:r>
        <w:t xml:space="preserve">(Röder et al. 2015)</w:t>
      </w:r>
      <w:r>
        <w:t xml:space="preserve"> </w:t>
      </w:r>
      <w:hyperlink w:anchor="eq:f2">
        <w:r>
          <w:rPr>
            <w:rStyle w:val="Hyperlink"/>
          </w:rPr>
          <w:t xml:space="preserve">[eq:f2]</w:t>
        </w:r>
      </w:hyperlink>
      <w:r>
        <w:t xml:space="preserve">, which generalises</w:t>
      </w:r>
      <w:r>
        <w:t xml:space="preserve"> </w:t>
      </w:r>
      <w:r>
        <w:t xml:space="preserve">the human-judgement-correlated PMI/NPMI measures of</w:t>
      </w:r>
      <w:r>
        <w:t xml:space="preserve"> </w:t>
      </w:r>
      <w:r>
        <w:t xml:space="preserve">(Newman et al. 2010)</w:t>
      </w:r>
      <w:r>
        <w:t xml:space="preserve"> </w:t>
      </w:r>
      <w:r>
        <w:t xml:space="preserve">and the document-co-occurrence statistic of</w:t>
      </w:r>
      <w:r>
        <w:t xml:space="preserve"> </w:t>
      </w:r>
      <w:r>
        <w:t xml:space="preserve">(Mimno et al. 2011)</w:t>
      </w:r>
      <w:r>
        <w:t xml:space="preserve">. F-7 reports a mutual information normalised by the label entropy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hyperlink w:anchor="eq:f7">
        <w:r>
          <w:rPr>
            <w:rStyle w:val="Hyperlink"/>
          </w:rPr>
          <w:t xml:space="preserve">[eq:f7]</w:t>
        </w:r>
      </w:hyperlink>
      <w:r>
        <w:t xml:space="preserve">, i.e. the asymmetric uncertainty coefficient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acc>
          <m:accPr>
            <m:chr m:val="̂"/>
          </m:accPr>
          <m:e>
            <m:r>
              <m:t>Z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Z</m:t>
            </m:r>
          </m:e>
        </m:acc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(not chance-corrected); the normalisation follows the</w:t>
      </w:r>
      <w:r>
        <w:t xml:space="preserve"> </w:t>
      </w:r>
      <w:r>
        <w:t xml:space="preserve">conventions catalogued by</w:t>
      </w:r>
      <w:r>
        <w:t xml:space="preserve"> </w:t>
      </w:r>
      <w:r>
        <w:t xml:space="preserve">(Vinh et al. 2010)</w:t>
      </w:r>
      <w:r>
        <w:t xml:space="preserve">. Because the topic</w:t>
      </w:r>
      <w:r>
        <w:t xml:space="preserve"> </w:t>
      </w:r>
      <w:r>
        <w:t xml:space="preserve">count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varies across recipes and backbones, this uncorrected score</w:t>
      </w:r>
      <w:r>
        <w:t xml:space="preserve"> </w:t>
      </w:r>
      <w:r>
        <w:t xml:space="preserve">carries a mild</w:t>
      </w:r>
      <w:r>
        <w:t xml:space="preserve"> </w:t>
      </w:r>
      <m:oMath>
        <m:r>
          <m:t>K</m:t>
        </m:r>
      </m:oMath>
      <w:r>
        <w:t xml:space="preserve">-dependent upward bias and is best read within, rather</w:t>
      </w:r>
      <w:r>
        <w:t xml:space="preserve"> </w:t>
      </w:r>
      <w:r>
        <w:t xml:space="preserve">than strictly across, recipes of differing</w:t>
      </w:r>
      <w:r>
        <w:t xml:space="preserve"> </w:t>
      </w:r>
      <m:oMath>
        <m:r>
          <m:t>K</m:t>
        </m:r>
      </m:oMath>
      <w:r>
        <w:t xml:space="preserve">. F-18 instantiates the multi-seed</w:t>
      </w:r>
      <w:r>
        <w:t xml:space="preserve"> </w:t>
      </w:r>
      <w:r>
        <w:t xml:space="preserve">stability protocol of</w:t>
      </w:r>
      <w:r>
        <w:t xml:space="preserve"> </w:t>
      </w:r>
      <w:r>
        <w:t xml:space="preserve">(Greene et al. 2014)</w:t>
      </w:r>
      <w:r>
        <w:t xml:space="preserve"> </w:t>
      </w:r>
      <w:r>
        <w:t xml:space="preserve">using Hungarian matching</w:t>
      </w:r>
      <w:r>
        <w:t xml:space="preserve"> </w:t>
      </w:r>
      <w:r>
        <w:t xml:space="preserve">(Kuhn 1955; Munkres 1957)</w:t>
      </w:r>
      <w:r>
        <w:t xml:space="preserve"> </w:t>
      </w:r>
      <w:r>
        <w:t xml:space="preserve">of top-</w:t>
      </w:r>
      <m:oMath>
        <m:r>
          <m:t>N</m:t>
        </m:r>
      </m:oMath>
      <w:r>
        <w:t xml:space="preserve"> </w:t>
      </w:r>
      <w:r>
        <w:t xml:space="preserve">indicator</w:t>
      </w:r>
      <w:r>
        <w:t xml:space="preserve"> </w:t>
      </w:r>
      <w:r>
        <w:t xml:space="preserve">sets</w:t>
      </w:r>
      <w:r>
        <w:t xml:space="preserve"> </w:t>
      </w:r>
      <w:hyperlink w:anchor="eq:f18">
        <w:r>
          <w:rPr>
            <w:rStyle w:val="Hyperlink"/>
          </w:rPr>
          <w:t xml:space="preserve">[eq:f18]</w:t>
        </w:r>
      </w:hyperlink>
      <w:r>
        <w:t xml:space="preserve">. The uniform-quantiser distortion bound of</w:t>
      </w:r>
      <w:r>
        <w:t xml:space="preserve"> </w:t>
      </w:r>
      <w:r>
        <w:t xml:space="preserve">(Gersho and Gray 1992)</w:t>
      </w:r>
      <w:r>
        <w:t xml:space="preserve"> </w:t>
      </w:r>
      <w:r>
        <w:t xml:space="preserve">bounds the wordification noise introduced by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-level binning in</w:t>
      </w:r>
      <w:r>
        <w:t xml:space="preserve"> </w:t>
      </w:r>
      <w:hyperlink w:anchor="eq:quantiser">
        <w:r>
          <w:rPr>
            <w:rStyle w:val="Hyperlink"/>
          </w:rPr>
          <w:t xml:space="preserve">[eq:quantiser]</w:t>
        </w:r>
      </w:hyperlink>
      <w:r>
        <w:t xml:space="preserve">. We follow the</w:t>
      </w:r>
      <w:r>
        <w:t xml:space="preserve"> </w:t>
      </w:r>
      <w:r>
        <w:t xml:space="preserve">reproducibility recommendations of</w:t>
      </w:r>
      <w:r>
        <w:t xml:space="preserve"> </w:t>
      </w:r>
      <w:r>
        <w:t xml:space="preserve">(</w:t>
      </w:r>
      <w:r>
        <w:t xml:space="preserve">Pineau et al.</w:t>
      </w:r>
      <w:r>
        <w:t xml:space="preserve"> </w:t>
      </w:r>
      <w:r>
        <w:t xml:space="preserve">2021)</w:t>
      </w:r>
      <w:r>
        <w:t xml:space="preserve"> </w:t>
      </w:r>
      <w:r>
        <w:t xml:space="preserve">and build on</w:t>
      </w:r>
      <w:r>
        <w:t xml:space="preserve"> </w:t>
      </w:r>
      <w:r>
        <w:t xml:space="preserve">the scikit-learn</w:t>
      </w:r>
      <w:r>
        <w:t xml:space="preserve"> </w:t>
      </w:r>
      <w:r>
        <w:t xml:space="preserve">(Pedregosa et al. 2011)</w:t>
      </w:r>
      <w:r>
        <w:t xml:space="preserve">, NumPy</w:t>
      </w:r>
      <w:r>
        <w:t xml:space="preserve"> </w:t>
      </w:r>
      <w:r>
        <w:t xml:space="preserve">(</w:t>
      </w:r>
      <w:r>
        <w:t xml:space="preserve">Harris et al.</w:t>
      </w:r>
      <w:r>
        <w:t xml:space="preserve"> </w:t>
      </w:r>
      <w:r>
        <w:t xml:space="preserve">2020)</w:t>
      </w:r>
      <w:r>
        <w:t xml:space="preserve">, SciPy</w:t>
      </w:r>
      <w:r>
        <w:t xml:space="preserve"> </w:t>
      </w:r>
      <w:r>
        <w:t xml:space="preserve">(</w:t>
      </w:r>
      <w:r>
        <w:t xml:space="preserve">Virtanen et al.</w:t>
      </w:r>
      <w:r>
        <w:t xml:space="preserve"> </w:t>
      </w:r>
      <w:r>
        <w:t xml:space="preserve">2020)</w:t>
      </w:r>
      <w:r>
        <w:t xml:space="preserve"> </w:t>
      </w:r>
      <w:r>
        <w:t xml:space="preserve">and gensim</w:t>
      </w:r>
      <w:r>
        <w:t xml:space="preserve"> </w:t>
      </w:r>
      <w:r>
        <w:t xml:space="preserve">(Řehůřek and Sojka 2010)</w:t>
      </w:r>
      <w:r>
        <w:t xml:space="preserve"> </w:t>
      </w:r>
      <w:r>
        <w:t xml:space="preserve">implementations; the mutual-information</w:t>
      </w:r>
      <w:r>
        <w:t xml:space="preserve"> </w:t>
      </w:r>
      <w:r>
        <w:t xml:space="preserve">weighting in V20</w:t>
      </w:r>
      <w:r>
        <w:t xml:space="preserve"> </w:t>
      </w:r>
      <w:hyperlink w:anchor="eq:v20">
        <w:r>
          <w:rPr>
            <w:rStyle w:val="Hyperlink"/>
          </w:rPr>
          <w:t xml:space="preserve">[eq:v20]</w:t>
        </w:r>
      </w:hyperlink>
      <w:r>
        <w:t xml:space="preserve"> </w:t>
      </w:r>
      <w:r>
        <w:t xml:space="preserve">uses the</w:t>
      </w:r>
      <w:r>
        <w:t xml:space="preserve"> </w:t>
      </w:r>
      <w:r>
        <w:rPr>
          <w:rStyle w:val="VerbatimChar"/>
        </w:rPr>
        <w:t xml:space="preserve">mutual_info_classif</w:t>
      </w:r>
      <w:r>
        <w:t xml:space="preserve"> </w:t>
      </w:r>
      <w:r>
        <w:t xml:space="preserve">estimator of</w:t>
      </w:r>
      <w:r>
        <w:t xml:space="preserve"> </w:t>
      </w:r>
      <w:r>
        <w:t xml:space="preserve">(Pedregosa et al. 2011)</w:t>
      </w:r>
      <w:r>
        <w:t xml:space="preserve">.</w:t>
      </w:r>
    </w:p>
    <w:bookmarkEnd w:id="23"/>
    <w:bookmarkEnd w:id="24"/>
    <w:bookmarkStart w:id="30" w:name="sec:design-space"/>
    <w:p>
      <w:pPr>
        <w:pStyle w:val="Heading1"/>
      </w:pPr>
      <w:r>
        <w:t xml:space="preserve">The nineteen-recipe wordification design space</w:t>
      </w:r>
    </w:p>
    <w:bookmarkStart w:id="28" w:name="fig:taxonomy"/>
    <w:p>
      <w:pPr>
        <w:pStyle w:val="CaptionedFigure"/>
      </w:pPr>
      <w:r>
        <w:drawing>
          <wp:inline>
            <wp:extent cx="5067300" cy="3022501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wordification-taxonomy.pdf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0225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wordification taxonomy. Twenty recipes are grouped into</w:t>
      </w:r>
      <w:r>
        <w:t xml:space="preserve"> </w:t>
      </w:r>
      <w:r>
        <w:t xml:space="preserve">seven families by token-alphabet semantics. V20 (purple,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) is the</w:t>
      </w:r>
      <w:r>
        <w:t xml:space="preserve"> </w:t>
      </w:r>
      <w:r>
        <w:t xml:space="preserve">only label-aware recipe in the sweep; it wins F-2 and F-7 together on</w:t>
      </w:r>
      <w:r>
        <w:t xml:space="preserve"> </w:t>
      </w:r>
      <w:r>
        <w:t xml:space="preserve">Indian Pines, where it is second to V2 on F-1 (0.858 against 0.861). V16</w:t>
      </w:r>
      <w:r>
        <w:t xml:space="preserve"> </w:t>
      </w:r>
      <w:r>
        <w:t xml:space="preserve">(HyperSIGMA foundation-model embedding) is scaffolded only and is not</w:t>
      </w:r>
      <w:r>
        <w:t xml:space="preserve"> </w:t>
      </w:r>
      <w:r>
        <w:t xml:space="preserve">evaluated: its pretrained weights are not integrated.</w:t>
      </w:r>
    </w:p>
    <w:bookmarkEnd w:id="28"/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center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ϕ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∼</m:t>
                </m:r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(</m:t>
                </m:r>
                <m:r>
                  <m:t>β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sSub>
                  <m:e>
                    <m:r>
                      <m:t>θ</m:t>
                    </m:r>
                  </m:e>
                  <m:sub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∼</m:t>
                </m:r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(</m:t>
                </m:r>
                <m:r>
                  <m:t>α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e>
            </m:mr>
            <m:mr>
              <m:e>
                <m:sSub>
                  <m:e>
                    <m:r>
                      <m:t>z</m:t>
                    </m:r>
                  </m:e>
                  <m:sub>
                    <m:r>
                      <m:t>d</m:t>
                    </m:r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∼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θ</m:t>
                    </m:r>
                  </m:e>
                  <m:sub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sSub>
                  <m:e>
                    <m:r>
                      <m:t>w</m:t>
                    </m:r>
                  </m:e>
                  <m:sub>
                    <m:r>
                      <m:t>d</m:t>
                    </m:r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∼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ϕ</m:t>
                    </m:r>
                  </m:e>
                  <m:sub>
                    <m:sSub>
                      <m:e>
                        <m:r>
                          <m:t>z</m:t>
                        </m:r>
                      </m:e>
                      <m:sub>
                        <m:r>
                          <m:t>d</m:t>
                        </m:r>
                        <m:r>
                          <m:t>n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e>
            </m:mr>
          </m:m>
        </m:oMath>
      </m:oMathPara>
    </w:p>
    <w:p>
      <w:pPr>
        <w:pStyle w:val="FirstParagraph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center"/>
                    <m:count m:val="1"/>
                  </m:mcPr>
                </m:mc>
              </m:mcs>
            </m:mPr>
            <m:mr>
              <m:e>
                <m:r>
                  <m:rPr>
                    <m:sty m:val="bi"/>
                  </m:rPr>
                  <m:t>β</m:t>
                </m:r>
                <m:r>
                  <m:rPr>
                    <m:sty m:val="p"/>
                  </m:rPr>
                  <m:t>∼</m:t>
                </m:r>
                <m:r>
                  <m:rPr>
                    <m:sty m:val="p"/>
                  </m:rPr>
                  <m:t>G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r>
                  <m:t>γ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sSub>
                  <m:e>
                    <m:r>
                      <m:t>π</m:t>
                    </m:r>
                  </m:e>
                  <m:sub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∼</m:t>
                </m:r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bi"/>
                  </m:rPr>
                  <m:t>β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e>
            </m:mr>
            <m:mr>
              <m:e>
                <m:sSub>
                  <m:e>
                    <m:r>
                      <m:t>z</m:t>
                    </m:r>
                  </m:e>
                  <m:sub>
                    <m:r>
                      <m:t>d</m:t>
                    </m:r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∼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π</m:t>
                    </m:r>
                  </m:e>
                  <m:sub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sSub>
                  <m:e>
                    <m:r>
                      <m:t>w</m:t>
                    </m:r>
                  </m:e>
                  <m:sub>
                    <m:r>
                      <m:t>d</m:t>
                    </m:r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∼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ϕ</m:t>
                    </m:r>
                  </m:e>
                  <m:sub>
                    <m:sSub>
                      <m:e>
                        <m:r>
                          <m:t>z</m:t>
                        </m:r>
                      </m:e>
                      <m:sub>
                        <m:r>
                          <m:t>d</m:t>
                        </m:r>
                        <m:r>
                          <m:t>n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e>
            </m:mr>
          </m:m>
        </m:oMath>
      </m:oMathPara>
    </w:p>
    <w:p>
      <w:pPr>
        <w:pStyle w:val="FirstParagraph"/>
      </w:pPr>
      <w:r>
        <w:t xml:space="preserve">with global atom weights</w:t>
      </w:r>
      <w:r>
        <w:t xml:space="preserve"> </w:t>
      </w:r>
      <m:oMath>
        <m:sSub>
          <m:e>
            <m:r>
              <m:t>β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k</m:t>
            </m:r>
          </m:sub>
          <m:sup>
            <m:r>
              <m:rPr>
                <m:sty m:val="p"/>
              </m:rPr>
              <m:t>′</m:t>
            </m:r>
          </m:sup>
        </m:sSubSup>
        <m:nary>
          <m:naryPr>
            <m:chr m:val="∏"/>
            <m:limLoc m:val="undOvr"/>
            <m:subHide m:val="off"/>
            <m:supHide m:val="on"/>
          </m:naryPr>
          <m:sub>
            <m:r>
              <m:t>l</m:t>
            </m:r>
            <m:r>
              <m:rPr>
                <m:sty m:val="p"/>
              </m:rPr>
              <m:t>&lt;</m:t>
            </m:r>
            <m:r>
              <m:t>k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−</m:t>
        </m:r>
        <m:sSubSup>
          <m:e>
            <m:r>
              <m:t>β</m:t>
            </m:r>
          </m:e>
          <m:sub>
            <m:r>
              <m:t>l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Sup>
          <m:e>
            <m:r>
              <m:t>β</m:t>
            </m:r>
          </m:e>
          <m:sub>
            <m:r>
              <m:t>k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t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γ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center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δ</m:t>
                    </m:r>
                  </m:e>
                  <m:sub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∼</m:t>
                </m:r>
                <m:r>
                  <m:rPr>
                    <m:scr m:val="script"/>
                    <m:sty m:val="p"/>
                  </m:rPr>
                  <m:t>N</m:t>
                </m:r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I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sSub>
                  <m:e>
                    <m:r>
                      <m:t>θ</m:t>
                    </m:r>
                  </m:e>
                  <m:sub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f</m:t>
                </m:r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x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δ</m:t>
                    </m:r>
                  </m:e>
                  <m:sub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e>
            </m:mr>
            <m:mr>
              <m:e>
                <m:sSub>
                  <m:e>
                    <m:r>
                      <m:t>β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f</m:t>
                </m:r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x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ω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sSub>
                  <m:e>
                    <m:r>
                      <m:t>w</m:t>
                    </m:r>
                  </m:e>
                  <m:sub>
                    <m:r>
                      <m:t>d</m:t>
                    </m:r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∼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t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θ</m:t>
                            </m:r>
                          </m:e>
                          <m:sub>
                            <m:r>
                              <m:t>d</m:t>
                            </m:r>
                            <m:r>
                              <m:t>k</m:t>
                            </m:r>
                          </m:sub>
                        </m:sSub>
                      </m:e>
                    </m:nary>
                    <m:r>
                      <m:t> 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,</m:t>
                </m:r>
              </m:e>
            </m:mr>
          </m:m>
        </m:oMath>
      </m:oMathPara>
    </w:p>
    <w:p>
      <w:pPr>
        <w:pStyle w:val="FirstParagraph"/>
      </w:pPr>
      <w:r>
        <w:t xml:space="preserve">where the unnormalised topic–word logits</w:t>
      </w:r>
      <w:r>
        <w:t xml:space="preserve"> </w:t>
      </w:r>
      <m:oMath>
        <m:sSub>
          <m:e>
            <m:r>
              <m:t>ω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rPr>
                <m:sty m:val="p"/>
              </m:rPr>
              <m:t>|</m:t>
            </m:r>
            <m:r>
              <m:t>V</m:t>
            </m:r>
            <m:r>
              <m:rPr>
                <m:sty m:val="p"/>
              </m:rPr>
              <m:t>|</m:t>
            </m:r>
          </m:sup>
        </m:sSup>
      </m:oMath>
      <w:r>
        <w:t xml:space="preserve"> </w:t>
      </w:r>
      <w:r>
        <w:t xml:space="preserve">form</w:t>
      </w:r>
      <w:r>
        <w:t xml:space="preserve"> </w:t>
      </w:r>
      <w:r>
        <w:t xml:space="preserve">a free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|</m:t>
        </m:r>
        <m:r>
          <m:t>V</m:t>
        </m:r>
        <m:r>
          <m:rPr>
            <m:sty m:val="p"/>
          </m:rPr>
          <m:t>|</m:t>
        </m:r>
      </m:oMath>
      <w:r>
        <w:t xml:space="preserve"> </w:t>
      </w:r>
      <w:r>
        <w:t xml:space="preserve">matrix and inference is amortised,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</m:rPr>
              <m:t>Σ</m:t>
            </m:r>
          </m:e>
          <m:sub>
            <m:r>
              <m:t>d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</m:e>
          <m:sub>
            <m:r>
              <m:t>η</m:t>
            </m:r>
          </m:sub>
        </m:sSub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d</m:t>
            </m:r>
          </m:sub>
        </m:sSub>
        <m:r>
          <m:rPr>
            <m:sty m:val="p"/>
          </m:rPr>
          <m:t>)</m:t>
        </m:r>
      </m:oMath>
      <w:r>
        <w:t xml:space="preserve">. ProdLDA as published mixes the</w:t>
      </w:r>
      <w:r>
        <w:t xml:space="preserve"> </w:t>
      </w:r>
      <w:r>
        <w:t xml:space="preserve">logits instead,</w:t>
      </w:r>
      <w:r>
        <w:t xml:space="preserve"> </w:t>
      </w:r>
      <m:oMath>
        <m:sSub>
          <m:e>
            <m:r>
              <m:t>w</m:t>
            </m:r>
          </m:e>
          <m:sub>
            <m:r>
              <m:t>d</m:t>
            </m:r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t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x</m:t>
            </m:r>
            <m:r>
              <m:rPr>
                <m:sty m:val="p"/>
              </m:rPr>
              <m:t>(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k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θ</m:t>
                    </m:r>
                  </m:e>
                  <m:sub>
                    <m:r>
                      <m:t>d</m:t>
                    </m:r>
                    <m:r>
                      <m:t>k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ω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)</m:t>
            </m:r>
          </m:e>
        </m:d>
      </m:oMath>
      <w:r>
        <w:t xml:space="preserve"> </w:t>
      </w:r>
      <w:r>
        <w:t xml:space="preserve">(a product of experts), with a Laplace approximation to</w:t>
      </w:r>
      <w:r>
        <w:t xml:space="preserve"> </w:t>
      </w:r>
      <m:oMath>
        <m:r>
          <m:rPr>
            <m:sty m:val="p"/>
          </m:rPr>
          <m:t>D</m:t>
        </m:r>
        <m:r>
          <m:rPr>
            <m:sty m:val="p"/>
          </m:rPr>
          <m:t>i</m:t>
        </m:r>
        <m:r>
          <m:rPr>
            <m:sty m:val="p"/>
          </m:rPr>
          <m:t>r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 </w:t>
      </w:r>
      <w:r>
        <w:t xml:space="preserve">as the prior; that form was not run.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center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δ</m:t>
                    </m:r>
                  </m:e>
                  <m:sub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∼</m:t>
                </m:r>
                <m:r>
                  <m:rPr>
                    <m:scr m:val="script"/>
                    <m:sty m:val="p"/>
                  </m:rPr>
                  <m:t>N</m:t>
                </m:r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I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sSub>
                  <m:e>
                    <m:r>
                      <m:t>θ</m:t>
                    </m:r>
                  </m:e>
                  <m:sub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f</m:t>
                </m:r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x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δ</m:t>
                    </m:r>
                  </m:e>
                  <m:sub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e>
            </m:mr>
            <m:mr>
              <m:e>
                <m:sSub>
                  <m:e>
                    <m:r>
                      <m:t>β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f</m:t>
                </m:r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x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ρ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,</m:t>
                </m:r>
                <m:r>
                  <m:t> </m:t>
                </m:r>
                <m:sSub>
                  <m:e>
                    <m:r>
                      <m:t>w</m:t>
                    </m:r>
                  </m:e>
                  <m:sub>
                    <m:r>
                      <m:t>d</m:t>
                    </m:r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∼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t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θ</m:t>
                            </m:r>
                          </m:e>
                          <m:sub>
                            <m:r>
                              <m:t>d</m:t>
                            </m:r>
                            <m:r>
                              <m:t>k</m:t>
                            </m:r>
                          </m:sub>
                        </m:sSub>
                      </m:e>
                    </m:nary>
                    <m:r>
                      <m:t> 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,</m:t>
                </m:r>
              </m:e>
            </m:mr>
          </m:m>
        </m:oMath>
      </m:oMathPara>
    </w:p>
    <w:p>
      <w:pPr>
        <w:pStyle w:val="FirstParagraph"/>
      </w:pPr>
      <w:r>
        <w:t xml:space="preserve">with word embeddings</w:t>
      </w:r>
      <w:r>
        <w:t xml:space="preserve"> </w:t>
      </w:r>
      <m:oMath>
        <m:r>
          <m:t>ρ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  <m:r>
              <m:rPr>
                <m:sty m:val="p"/>
              </m:rPr>
              <m:t>×</m:t>
            </m:r>
            <m:r>
              <m:rPr>
                <m:sty m:val="p"/>
              </m:rPr>
              <m:t>|</m:t>
            </m:r>
            <m:r>
              <m:t>V</m:t>
            </m:r>
            <m:r>
              <m:rPr>
                <m:sty m:val="p"/>
              </m:rPr>
              <m:t>|</m:t>
            </m:r>
          </m:sup>
        </m:sSup>
      </m:oMath>
      <w:r>
        <w:t xml:space="preserve"> </w:t>
      </w:r>
      <w:r>
        <w:t xml:space="preserve">and topic</w:t>
      </w:r>
      <w:r>
        <w:t xml:space="preserve"> </w:t>
      </w:r>
      <w:r>
        <w:t xml:space="preserve">embeddings</w:t>
      </w:r>
      <w:r>
        <w:t xml:space="preserve"> </w:t>
      </w:r>
      <m:oMath>
        <m:sSub>
          <m:e>
            <m:r>
              <m:t>α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m:oMath>
        <m:r>
          <m:t>L</m:t>
        </m:r>
        <m:r>
          <m:rPr>
            <m:sty m:val="p"/>
          </m:rPr>
          <m:t>=</m:t>
        </m:r>
        <m:r>
          <m:t>64</m:t>
        </m:r>
      </m:oMath>
      <w:r>
        <w:t xml:space="preserve">), and the same amortised</w:t>
      </w:r>
      <w:r>
        <w:t xml:space="preserve"> </w:t>
      </w:r>
      <w:r>
        <w:t xml:space="preserve">encoder as</w:t>
      </w:r>
      <w:r>
        <w:t xml:space="preserve"> </w:t>
      </w:r>
      <w:hyperlink w:anchor="eq:prodlda-gen">
        <w:r>
          <w:rPr>
            <w:rStyle w:val="Hyperlink"/>
          </w:rPr>
          <w:t xml:space="preserve">[eq:prodlda-gen]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center"/>
                    <m:count m:val="1"/>
                  </m:mcPr>
                </m:mc>
              </m:mcs>
            </m:mPr>
            <m:m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d</m:t>
                    </m:r>
                    <m:r>
                      <m:t>b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x</m:t>
                        </m:r>
                      </m:e>
                      <m:sub>
                        <m:r>
                          <m:t>d</m:t>
                        </m:r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limLow>
                      <m:e>
                        <m:r>
                          <m:rPr>
                            <m:sty m:val="p"/>
                          </m:rPr>
                          <m:t>min</m:t>
                        </m:r>
                      </m:e>
                      <m:lim>
                        <m:r>
                          <m:t>b</m:t>
                        </m:r>
                      </m:lim>
                    </m:limLow>
                    <m:sSub>
                      <m:e>
                        <m:r>
                          <m:t>x</m:t>
                        </m:r>
                      </m:e>
                      <m:sub>
                        <m:r>
                          <m:t>d</m:t>
                        </m:r>
                        <m:r>
                          <m:t>b</m:t>
                        </m:r>
                      </m:sub>
                    </m:sSub>
                  </m:num>
                  <m:den>
                    <m:limLow>
                      <m:e>
                        <m:r>
                          <m:rPr>
                            <m:sty m:val="p"/>
                          </m:rPr>
                          <m:t>max</m:t>
                        </m:r>
                      </m:e>
                      <m:lim>
                        <m:r>
                          <m:t>b</m:t>
                        </m:r>
                      </m:lim>
                    </m:limLow>
                    <m:sSub>
                      <m:e>
                        <m:r>
                          <m:t>x</m:t>
                        </m:r>
                      </m:e>
                      <m:sub>
                        <m:r>
                          <m:t>d</m:t>
                        </m:r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limLow>
                      <m:e>
                        <m:r>
                          <m:rPr>
                            <m:sty m:val="p"/>
                          </m:rPr>
                          <m:t>min</m:t>
                        </m:r>
                      </m:e>
                      <m:lim>
                        <m:r>
                          <m:t>b</m:t>
                        </m:r>
                      </m:lim>
                    </m:limLow>
                    <m:sSub>
                      <m:e>
                        <m:r>
                          <m:t>x</m:t>
                        </m:r>
                      </m:e>
                      <m:sub>
                        <m:r>
                          <m:t>d</m:t>
                        </m:r>
                        <m:r>
                          <m:t>b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,</m:t>
                </m:r>
              </m:e>
            </m:mr>
            <m:mr>
              <m:e>
                <m:sSub>
                  <m:e>
                    <m:r>
                      <m:t>q</m:t>
                    </m:r>
                  </m:e>
                  <m:sub>
                    <m:r>
                      <m:t>b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l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⌊</m:t>
                    </m:r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b>
                        <m:r>
                          <m:t>d</m:t>
                        </m:r>
                        <m:r>
                          <m:t>b</m:t>
                        </m:r>
                      </m:sub>
                    </m:sSub>
                    <m:r>
                      <m:t> </m:t>
                    </m:r>
                    <m:r>
                      <m:t>Q</m:t>
                    </m:r>
                    <m:r>
                      <m:rPr>
                        <m:sty m:val="p"/>
                      </m:rPr>
                      <m:t>⌋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 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 </m:t>
                    </m:r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.</m:t>
                </m:r>
              </m:e>
            </m:mr>
          </m:m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n</m:t>
              </m:r>
            </m:e>
            <m:sub>
              <m:r>
                <m:t>d</m:t>
              </m:r>
            </m:sub>
            <m:sup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1</m:t>
              </m:r>
            </m:sup>
          </m:sSubSup>
          <m:r>
            <m:rPr>
              <m:sty m:val="p"/>
            </m:rPr>
            <m:t>[</m:t>
          </m:r>
          <m:r>
            <m:t>b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|</m:t>
          </m:r>
          <m:sSub>
            <m:e>
              <m:r>
                <m:t>V</m:t>
              </m:r>
            </m:e>
            <m:sub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n</m:t>
              </m:r>
            </m:e>
            <m:sub>
              <m:r>
                <m:t>d</m:t>
              </m:r>
            </m:sub>
            <m:sup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3</m:t>
              </m:r>
            </m:sup>
          </m:sSubSup>
          <m:r>
            <m:rPr>
              <m:sty m:val="p"/>
            </m:rPr>
            <m:t>[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q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|</m:t>
          </m:r>
          <m:sSub>
            <m:e>
              <m:r>
                <m:t>V</m:t>
              </m:r>
            </m:e>
            <m:sub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>
            <m:t>B</m:t>
          </m:r>
          <m:r>
            <m:t> 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center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a</m:t>
                    </m:r>
                  </m:e>
                  <m:sub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arg</m:t>
                </m:r>
                <m:limLow>
                  <m:e>
                    <m:r>
                      <m:rPr>
                        <m:sty m:val="p"/>
                      </m:rPr>
                      <m:t>min</m:t>
                    </m:r>
                  </m:e>
                  <m:lim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 </m:t>
                    </m:r>
                    <m:sSup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lim>
                </m:limLow>
                <m:r>
                  <m:t> </m:t>
                </m:r>
                <m:sSubSup>
                  <m:e>
                    <m:d>
                      <m:dPr>
                        <m:begChr m:val="‖"/>
                        <m:sepChr m:val=""/>
                        <m:endChr m:val="‖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d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E</m:t>
                        </m:r>
                        <m:r>
                          <m:t> </m:t>
                        </m:r>
                        <m:r>
                          <m:t>a</m:t>
                        </m:r>
                      </m:e>
                    </m:d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,</m:t>
                </m:r>
              </m:e>
            </m:mr>
            <m:mr>
              <m:e>
                <m:sSubSup>
                  <m:e>
                    <m:r>
                      <m:t>n</m:t>
                    </m:r>
                  </m:e>
                  <m:sub>
                    <m:r>
                      <m:t>d</m:t>
                    </m:r>
                  </m:sub>
                  <m:sup>
                    <m:r>
                      <m:rPr>
                        <m:sty m:val="p"/>
                      </m:rPr>
                      <m:t>V</m:t>
                    </m:r>
                    <m:r>
                      <m:rPr>
                        <m:sty m:val="p"/>
                      </m:rPr>
                      <m:t>8</m:t>
                    </m:r>
                  </m:sup>
                </m:sSubSup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min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Q</m:t>
                        </m:r>
                        <m:r>
                          <m:t> </m:t>
                        </m:r>
                        <m:f>
                          <m:fPr>
                            <m:type m:val="bar"/>
                          </m:fPr>
                          <m:num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d</m:t>
                                </m:r>
                                <m:r>
                                  <m:t>m</m:t>
                                </m:r>
                              </m:sub>
                            </m:sSub>
                          </m:num>
                          <m:den>
                            <m:limLow>
                              <m:e>
                                <m:r>
                                  <m:rPr>
                                    <m:sty m:val="p"/>
                                  </m:rPr>
                                  <m:t>max</m:t>
                                </m:r>
                              </m:e>
                              <m:lim>
                                <m:sSup>
                                  <m:e>
                                    <m:r>
                                      <m:t>m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m:t>′</m:t>
                                    </m:r>
                                  </m:sup>
                                </m:sSup>
                              </m:lim>
                            </m:limLow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d</m:t>
                                </m:r>
                                <m:sSup>
                                  <m:e>
                                    <m:r>
                                      <m:t>m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m:t>′</m:t>
                                    </m:r>
                                  </m:sup>
                                </m:sSup>
                              </m:sub>
                            </m:sSub>
                          </m:den>
                        </m:f>
                      </m:e>
                    </m:d>
                    <m:r>
                      <m:rPr>
                        <m:sty m:val="p"/>
                      </m:rPr>
                      <m:t>,</m:t>
                    </m:r>
                    <m:r>
                      <m:t> </m:t>
                    </m:r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,</m:t>
                </m:r>
              </m:e>
            </m:mr>
          </m:m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M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are the NFINDR endmembers (simplex vertices),</w:t>
      </w:r>
      <w:r>
        <w:t xml:space="preserve"> </w:t>
      </w:r>
      <m:oMath>
        <m:sSub>
          <m:e>
            <m:r>
              <m:t>x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the unnormalised spectrum and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V</m:t>
            </m:r>
          </m:e>
          <m:sub>
            <m:r>
              <m:rPr>
                <m:sty m:val="p"/>
              </m:rPr>
              <m:t>V</m:t>
            </m:r>
            <m:r>
              <m:rPr>
                <m:sty m:val="p"/>
              </m:rPr>
              <m:t>8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=</m:t>
        </m:r>
        <m:r>
          <m:t>M</m:t>
        </m:r>
      </m:oMath>
      <w:r>
        <w:t xml:space="preserve">. The abundance</w:t>
      </w:r>
      <w:r>
        <w:t xml:space="preserve"> </w:t>
      </w:r>
      <w:r>
        <w:t xml:space="preserve">non-negativity (ANC,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) and sum-to-one (ASC,</w:t>
      </w:r>
      <w:r>
        <w:t xml:space="preserve"> </w:t>
      </w:r>
      <m:oMath>
        <m:sSup>
          <m:e>
            <m:r>
              <m:rPr>
                <m:sty m:val="b"/>
              </m:rPr>
              <m:t>1</m:t>
            </m:r>
          </m:e>
          <m:sup>
            <m:r>
              <m:rPr>
                <m:sty m:val="p"/>
              </m:rPr>
              <m:t>⊤</m:t>
            </m:r>
          </m:sup>
        </m:sSup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constraints make</w:t>
      </w:r>
      <w:r>
        <w:t xml:space="preserve"> </w:t>
      </w:r>
      <m:oMath>
        <m:sSub>
          <m:e>
            <m:r>
              <m:t>a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a point on the simplex spanned by the endmembers</w:t>
      </w:r>
      <w:r>
        <w:t xml:space="preserve"> </w:t>
      </w:r>
      <w:r>
        <w:t xml:space="preserve">(fully-constrained least squares, FCLS; implemented as</w:t>
      </w:r>
      <w:r>
        <w:t xml:space="preserve"> </w:t>
      </w:r>
      <m:oMath>
        <m:r>
          <m:t>δ</m:t>
        </m:r>
      </m:oMath>
      <w:r>
        <w:t xml:space="preserve">-augmented NNLS followed by renormalisation), so the coefficients</w:t>
      </w:r>
      <w:r>
        <w:t xml:space="preserve"> </w:t>
      </w:r>
      <w:r>
        <w:t xml:space="preserve">are proper abundance fractions over the convex hull. The dominant</w:t>
      </w:r>
      <w:r>
        <w:t xml:space="preserve"> </w:t>
      </w:r>
      <w:r>
        <w:t xml:space="preserve">endmember of every pixel emits</w:t>
      </w:r>
      <w:r>
        <w:t xml:space="preserve"> </w:t>
      </w:r>
      <m:oMath>
        <m:r>
          <m:t>Q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tokens, so the document length</w:t>
      </w:r>
      <w:r>
        <w:t xml:space="preserve"> </w:t>
      </w:r>
      <w:r>
        <w:t xml:space="preserve">grows with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center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g</m:t>
                    </m:r>
                  </m:e>
                  <m:sub>
                    <m:r>
                      <m:t>b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arg</m:t>
                </m:r>
                <m:limLow>
                  <m:e>
                    <m:r>
                      <m:rPr>
                        <m:sty m:val="p"/>
                      </m:rPr>
                      <m:t>max</m:t>
                    </m:r>
                  </m:e>
                  <m:lim>
                    <m:r>
                      <m:t>k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}</m:t>
                    </m:r>
                  </m:lim>
                </m:limLow>
                <m:r>
                  <m:t> </m:t>
                </m:r>
                <m:sSub>
                  <m:e>
                    <m:r>
                      <m:t>π</m:t>
                    </m:r>
                  </m:e>
                  <m:sub>
                    <m:r>
                      <m:t>k</m:t>
                    </m:r>
                  </m:sub>
                </m:sSub>
                <m:r>
                  <m:t> </m:t>
                </m:r>
                <m:r>
                  <m:rPr>
                    <m:scr m:val="script"/>
                    <m:sty m:val="p"/>
                  </m:rPr>
                  <m:t>N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d</m:t>
                        </m:r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μ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r>
                          <m:t>σ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d>
                <m:r>
                  <m:rPr>
                    <m:sty m:val="p"/>
                  </m:rPr>
                  <m:t>,</m:t>
                </m:r>
              </m:e>
            </m:mr>
            <m:mr>
              <m:e>
                <m:sSubSup>
                  <m:e>
                    <m:r>
                      <m:t>n</m:t>
                    </m:r>
                  </m:e>
                  <m:sub>
                    <m:r>
                      <m:t>d</m:t>
                    </m:r>
                  </m:sub>
                  <m:sup>
                    <m:r>
                      <m:rPr>
                        <m:sty m:val="p"/>
                      </m:rPr>
                      <m:t>V</m:t>
                    </m:r>
                    <m:r>
                      <m:rPr>
                        <m:sty m:val="p"/>
                      </m:rPr>
                      <m:t>12</m:t>
                    </m:r>
                  </m:sup>
                </m:sSubSup>
                <m:r>
                  <m:rPr>
                    <m:sty m:val="p"/>
                  </m:rPr>
                  <m:t>[</m:t>
                </m:r>
                <m:r>
                  <m:rPr>
                    <m:sty m:val="p"/>
                  </m:rPr>
                  <m:t>(</m:t>
                </m:r>
                <m:r>
                  <m:t>b</m:t>
                </m:r>
                <m:r>
                  <m:rPr>
                    <m:sty m:val="p"/>
                  </m:rPr>
                  <m:t>,</m:t>
                </m:r>
                <m:r>
                  <m:t>g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cr m:val="double-struck"/>
                    <m:sty m:val="p"/>
                  </m:rPr>
                  <m:t>1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g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g</m:t>
                    </m:r>
                  </m:e>
                </m:d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rPr>
                    <m:sty m:val="p"/>
                  </m:rPr>
                  <m:t>|</m:t>
                </m:r>
                <m:sSub>
                  <m:e>
                    <m:r>
                      <m:t>V</m:t>
                    </m:r>
                  </m:e>
                  <m:sub>
                    <m:r>
                      <m:rPr>
                        <m:sty m:val="p"/>
                      </m:rPr>
                      <m:t>V</m:t>
                    </m:r>
                    <m:r>
                      <m:rPr>
                        <m:sty m:val="p"/>
                      </m:rPr>
                      <m:t>12</m:t>
                    </m:r>
                  </m:sub>
                </m:sSub>
                <m:r>
                  <m:rPr>
                    <m:sty m:val="p"/>
                  </m:rPr>
                  <m:t>|</m:t>
                </m:r>
                <m:r>
                  <m:rPr>
                    <m:sty m:val="p"/>
                  </m:rPr>
                  <m:t>=</m:t>
                </m:r>
                <m:r>
                  <m:t>B</m:t>
                </m:r>
                <m:r>
                  <m:t> </m:t>
                </m:r>
                <m:r>
                  <m:t>Q</m:t>
                </m:r>
                <m:r>
                  <m:rPr>
                    <m:sty m:val="p"/>
                  </m:rPr>
                  <m:t>,</m:t>
                </m:r>
              </m:e>
            </m:mr>
          </m:m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k</m:t>
            </m:r>
          </m:sub>
          <m:sup>
            <m:r>
              <m:t>2</m:t>
            </m:r>
          </m:sup>
        </m:sSubSup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&lt;</m:t>
            </m:r>
            <m:r>
              <m:t>Q</m:t>
            </m:r>
          </m:sub>
        </m:sSub>
      </m:oMath>
      <w:r>
        <w:t xml:space="preserve"> </w:t>
      </w:r>
      <w:r>
        <w:t xml:space="preserve">is a one-dimensional Gaussian</w:t>
      </w:r>
      <w:r>
        <w:t xml:space="preserve"> </w:t>
      </w:r>
      <w:r>
        <w:t xml:space="preserve">mixture fitted once per scene to the unnormalised band intensities of the</w:t>
      </w:r>
      <w:r>
        <w:t xml:space="preserve"> </w:t>
      </w:r>
      <w:r>
        <w:t xml:space="preserve">sampled pixels (a random subset of 50 000 values), with the components</w:t>
      </w:r>
      <w:r>
        <w:t xml:space="preserve"> </w:t>
      </w:r>
      <w:r>
        <w:t xml:space="preserve">indexed in increasing order of</w:t>
      </w:r>
      <w:r>
        <w:t xml:space="preserve"> </w:t>
      </w:r>
      <m:oMath>
        <m:sSub>
          <m:e>
            <m:r>
              <m:t>μ</m:t>
            </m:r>
          </m:e>
          <m:sub>
            <m:r>
              <m:t>k</m:t>
            </m:r>
          </m:sub>
        </m:sSub>
      </m:oMath>
      <w:r>
        <w:t xml:space="preserve">. Each band emits one token, as in</w:t>
      </w:r>
      <w:r>
        <w:t xml:space="preserve"> </w:t>
      </w:r>
      <w:r>
        <w:t xml:space="preserve">V3, but the bins are shared by all pixels and follow the intensity</w:t>
      </w:r>
      <w:r>
        <w:t xml:space="preserve"> </w:t>
      </w:r>
      <w:r>
        <w:t xml:space="preserve">distribution instead of splitting each spectrum’s own range into equal</w:t>
      </w:r>
      <w:r>
        <w:t xml:space="preserve"> </w:t>
      </w:r>
      <w:r>
        <w:t xml:space="preserve">intervals.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center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w</m:t>
                    </m:r>
                  </m:e>
                  <m:sub>
                    <m:r>
                      <m:t>b</m:t>
                    </m:r>
                  </m:sub>
                </m:sSub>
                <m:r>
                  <m:rPr>
                    <m:sty m:val="p"/>
                  </m:rPr>
                  <m:t>=</m:t>
                </m:r>
                <m:d>
                  <m:dPr>
                    <m:begChr m:val="⌊"/>
                    <m:sepChr m:val=""/>
                    <m:endChr m:val="⌉"/>
                    <m:grow/>
                  </m:dPr>
                  <m:e>
                    <m:f>
                      <m:fPr>
                        <m:type m:val="lin"/>
                      </m:fPr>
                      <m:num>
                        <m:r>
                          <m:rPr>
                            <m:sty m:val="p"/>
                          </m:rPr>
                          <m:t>M</m:t>
                        </m:r>
                        <m:r>
                          <m:rPr>
                            <m:sty m:val="p"/>
                          </m:rPr>
                          <m:t>I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b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;</m:t>
                        </m:r>
                        <m:r>
                          <m:t> 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limLow>
                          <m:e>
                            <m:r>
                              <m:rPr>
                                <m:sty m:val="p"/>
                              </m:rPr>
                              <m:t>max</m:t>
                            </m:r>
                          </m:e>
                          <m:lim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′</m:t>
                                </m:r>
                              </m:sup>
                            </m:sSup>
                          </m:lim>
                        </m:limLow>
                        <m:r>
                          <m:rPr>
                            <m:sty m:val="p"/>
                          </m:rPr>
                          <m:t>M</m:t>
                        </m:r>
                        <m:r>
                          <m:rPr>
                            <m:sty m:val="p"/>
                          </m:rPr>
                          <m:t>I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m:t>⋅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′</m:t>
                                </m:r>
                              </m:sup>
                            </m:sSup>
                          </m:sub>
                        </m:sSub>
                        <m:r>
                          <m:rPr>
                            <m:sty m:val="p"/>
                          </m:rPr>
                          <m:t>;</m:t>
                        </m:r>
                        <m:r>
                          <m:t> 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 </m:t>
                    </m:r>
                    <m:sSub>
                      <m:e>
                        <m:r>
                          <m:t>Q</m:t>
                        </m:r>
                      </m:e>
                      <m:sub>
                        <m:r>
                          <m:rPr>
                            <m:sty m:val="p"/>
                          </m:rPr>
                          <m:t>max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,</m:t>
                </m:r>
              </m:e>
            </m:mr>
            <m:mr>
              <m:e>
                <m:sSubSup>
                  <m:e>
                    <m:r>
                      <m:t>n</m:t>
                    </m:r>
                  </m:e>
                  <m:sub>
                    <m:r>
                      <m:t>d</m:t>
                    </m:r>
                  </m:sub>
                  <m:sup>
                    <m:r>
                      <m:rPr>
                        <m:sty m:val="p"/>
                      </m:rPr>
                      <m:t>V</m:t>
                    </m:r>
                    <m:r>
                      <m:rPr>
                        <m:sty m:val="p"/>
                      </m:rPr>
                      <m:t>20</m:t>
                    </m:r>
                  </m:sup>
                </m:sSubSup>
                <m:r>
                  <m:rPr>
                    <m:sty m:val="p"/>
                  </m:rPr>
                  <m:t>[</m:t>
                </m:r>
                <m:r>
                  <m:rPr>
                    <m:sty m:val="p"/>
                  </m:rPr>
                  <m:t>(</m:t>
                </m:r>
                <m:r>
                  <m:t>b</m:t>
                </m:r>
                <m:r>
                  <m:rPr>
                    <m:sty m:val="p"/>
                  </m:rPr>
                  <m:t>,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w</m:t>
                    </m:r>
                  </m:e>
                  <m:sub>
                    <m:r>
                      <m:t>b</m:t>
                    </m:r>
                  </m:sub>
                </m:sSub>
                <m:r>
                  <m:t> </m:t>
                </m:r>
                <m:r>
                  <m:rPr>
                    <m:scr m:val="double-struck"/>
                    <m:sty m:val="p"/>
                  </m:rPr>
                  <m:t>1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q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q</m:t>
                    </m:r>
                  </m:e>
                </m:d>
                <m:r>
                  <m:rPr>
                    <m:sty m:val="p"/>
                  </m:rPr>
                  <m:t>.</m:t>
                </m:r>
              </m:e>
            </m:mr>
          </m:m>
        </m:oMath>
      </m:oMathPara>
    </w:p>
    <w:p>
      <w:pPr>
        <w:pStyle w:val="FirstParagraph"/>
      </w:pPr>
      <w:r>
        <w:t xml:space="preserve">The token alphabet is V3’s,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V</m:t>
            </m:r>
          </m:e>
          <m:sub>
            <m:r>
              <m:rPr>
                <m:sty m:val="p"/>
              </m:rPr>
              <m:t>V</m:t>
            </m:r>
            <m:r>
              <m:rPr>
                <m:sty m:val="p"/>
              </m:rPr>
              <m:t>20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=</m:t>
        </m:r>
        <m:r>
          <m:t>B</m:t>
        </m:r>
        <m:r>
          <m:t> </m:t>
        </m:r>
        <m:r>
          <m:t>Q</m:t>
        </m:r>
      </m:oMath>
      <w:r>
        <w:t xml:space="preserve"> </w:t>
      </w:r>
      <w:r>
        <w:t xml:space="preserve">(=1600 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200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=</m:t>
        </m:r>
        <m:r>
          <m:t>8</m:t>
        </m:r>
      </m:oMath>
      <w:r>
        <w:t xml:space="preserve">; mean</w:t>
      </w:r>
      <w:r>
        <w:t xml:space="preserve"> </w:t>
      </w:r>
      <m:oMath>
        <m:r>
          <m:rPr>
            <m:sty m:val="p"/>
          </m:rPr>
          <m:t>≈</m:t>
        </m:r>
        <m:r>
          <m:t>1376</m:t>
        </m:r>
      </m:oMath>
      <w:r>
        <w:t xml:space="preserve"> </w:t>
      </w:r>
      <w:r>
        <w:t xml:space="preserve">across the six labelled scenes since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varies). Bands with</w:t>
      </w:r>
      <w:r>
        <w:t xml:space="preserve"> </w:t>
      </w:r>
      <m:oMath>
        <m:sSub>
          <m:e>
            <m:r>
              <m:t>w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emit nothing, so the</w:t>
      </w:r>
      <w:r>
        <w:t xml:space="preserve"> </w:t>
      </w:r>
      <w:r>
        <w:rPr>
          <w:i/>
          <w:iCs/>
        </w:rPr>
        <w:t xml:space="preserve">effective</w:t>
      </w:r>
      <w:r>
        <w:t xml:space="preserve"> </w:t>
      </w:r>
      <w:r>
        <w:t xml:space="preserve">(non-empty-column) vocabulary is smaller still (</w:t>
      </w:r>
      <m:oMath>
        <m:r>
          <m:rPr>
            <m:sty m:val="p"/>
          </m:rPr>
          <m:t>≈</m:t>
        </m:r>
        <m:r>
          <m:t>770</m:t>
        </m:r>
      </m:oMath>
      <w:r>
        <w:t xml:space="preserve"> </w:t>
      </w:r>
      <w:r>
        <w:t xml:space="preserve">mean).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rPr>
              <m:nor/>
              <m:sty m:val="p"/>
            </m:rPr>
            <m:t>-</m:t>
          </m:r>
          <m:r>
            <m:rPr>
              <m:sty m:val="p"/>
            </m:rPr>
            <m:t>1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|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|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r>
                    <m:t>2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sSub>
                    <m:e>
                      <m:r>
                        <m:t>R</m:t>
                      </m:r>
                    </m:e>
                    <m:sub>
                      <m:r>
                        <m:t>c</m:t>
                      </m:r>
                    </m:sub>
                  </m:sSub>
                </m:num>
                <m:den>
                  <m:sSub>
                    <m:e>
                      <m: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c</m:t>
                      </m:r>
                    </m:sub>
                  </m:sSub>
                </m:den>
              </m:f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center"/>
                    <m:count m:val="1"/>
                  </m:mcPr>
                </m:mc>
              </m:mcs>
            </m:mPr>
            <m:mr>
              <m:e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w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log</m:t>
                    </m:r>
                    <m:f>
                      <m:fPr>
                        <m:type m:val="bar"/>
                      </m:fPr>
                      <m:num>
                        <m:r>
                          <m:t>p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w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w</m:t>
                            </m:r>
                          </m:e>
                          <m:sub>
                            <m:r>
                              <m:t>j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ϵ</m:t>
                        </m:r>
                      </m:num>
                      <m:den>
                        <m:r>
                          <m:t>p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w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w</m:t>
                            </m:r>
                          </m:e>
                          <m:sub>
                            <m:r>
                              <m:t>j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num>
                  <m:den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log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w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w</m:t>
                            </m:r>
                          </m:e>
                          <m:sub>
                            <m:r>
                              <m:t>j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ϵ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,</m:t>
                </m:r>
              </m:e>
            </m:mr>
            <m:mr>
              <m:e>
                <m:sSub>
                  <m:e>
                    <m:r>
                      <m:t>c</m:t>
                    </m:r>
                  </m:e>
                  <m:sub>
                    <m:r>
                      <m:t>v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cos</m:t>
                    </m:r>
                  </m:e>
                </m:nary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rPr>
                            <m:sty m:val="bi"/>
                          </m:rPr>
                          <m:t>v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 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v</m:t>
                            </m:r>
                          </m:e>
                          <m:sub>
                            <m:r>
                              <m:t>j</m:t>
                            </m:r>
                          </m:sub>
                        </m:sSub>
                      </m:e>
                    </m:nary>
                  </m:e>
                </m:d>
                <m:r>
                  <m:rPr>
                    <m:sty m:val="p"/>
                  </m:rPr>
                  <m:t>,</m:t>
                </m:r>
              </m:e>
            </m:mr>
          </m:m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bi"/>
              </m:rP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N</m:t>
        </m:r>
        <m:r>
          <m:rPr>
            <m:sty m:val="p"/>
          </m:rPr>
          <m:t>P</m:t>
        </m: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ℓ</m:t>
            </m:r>
          </m:sub>
        </m:sSub>
        <m:r>
          <m:rPr>
            <m:sty m:val="p"/>
          </m:rPr>
          <m:t>)</m:t>
        </m:r>
        <m:sSubSup>
          <m:e>
            <m:r>
              <m:rPr>
                <m:sty m:val="p"/>
              </m:rPr>
              <m:t>)</m:t>
            </m:r>
          </m:e>
          <m:sub>
            <m:r>
              <m:t>ℓ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</m:oMath>
      <w:r>
        <w:t xml:space="preserve"> </w:t>
      </w:r>
      <w:r>
        <w:t xml:space="preserve">over the</w:t>
      </w:r>
      <w:r>
        <w:t xml:space="preserve"> </w:t>
      </w:r>
      <w:r>
        <w:t xml:space="preserve">top-</w:t>
      </w:r>
      <m:oMath>
        <m:r>
          <m:t>N</m:t>
        </m:r>
      </m:oMath>
      <w:r>
        <w:t xml:space="preserve"> </w:t>
      </w:r>
      <w:r>
        <w:t xml:space="preserve">topic words.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center"/>
                    <m:count m:val="1"/>
                  </m:mcPr>
                </m:mc>
              </m:mcs>
            </m:mPr>
            <m:m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z</m:t>
                        </m:r>
                      </m:e>
                    </m:acc>
                  </m:e>
                  <m:sub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arg</m:t>
                </m:r>
                <m:limLow>
                  <m:e>
                    <m:r>
                      <m:rPr>
                        <m:sty m:val="p"/>
                      </m:rPr>
                      <m:t>max</m:t>
                    </m:r>
                  </m:e>
                  <m:lim>
                    <m:r>
                      <m:t>k</m:t>
                    </m:r>
                  </m:lim>
                </m:limLow>
                <m:sSub>
                  <m:e>
                    <m:r>
                      <m:t>θ</m:t>
                    </m:r>
                  </m:e>
                  <m:sub>
                    <m:r>
                      <m:t>d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,</m:t>
                </m:r>
              </m:e>
            </m:mr>
            <m:mr>
              <m:e>
                <m:r>
                  <m:rPr>
                    <m:sty m:val="p"/>
                  </m:rPr>
                  <m:t>F</m:t>
                </m:r>
                <m:r>
                  <m:rPr>
                    <m:nor/>
                    <m:sty m:val="p"/>
                  </m:rPr>
                  <m:t>-</m:t>
                </m:r>
                <m:r>
                  <m:rPr>
                    <m:sty m:val="p"/>
                  </m:rPr>
                  <m:t>7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̂"/>
                      </m:accPr>
                      <m:e>
                        <m:r>
                          <m:t>Z</m:t>
                        </m:r>
                      </m:e>
                    </m:acc>
                    <m:r>
                      <m:rPr>
                        <m:sty m:val="p"/>
                      </m:rPr>
                      <m:t>;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t> </m:t>
                </m:r>
                <m:r>
                  <m:rPr>
                    <m:sty m:val="p"/>
                  </m:rPr>
                  <m:t>=</m:t>
                </m:r>
                <m:r>
                  <m:t> </m:t>
                </m:r>
                <m:r>
                  <m:t>U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acc>
                  <m:accPr>
                    <m:chr m:val="̂"/>
                  </m:accPr>
                  <m:e>
                    <m:r>
                      <m:t>Z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t> </m:t>
                </m:r>
                <m:r>
                  <m:rPr>
                    <m:sty m:val="p"/>
                  </m:rPr>
                  <m:t>=</m:t>
                </m:r>
                <m:r>
                  <m:t> 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̂"/>
                      </m:accPr>
                      <m:e>
                        <m:r>
                          <m:t>Z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rPr>
                    <m:sty m:val="p"/>
                  </m:rPr>
                  <m:t>.</m:t>
                </m:r>
              </m:e>
            </m:mr>
          </m:m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rPr>
              <m:nor/>
              <m:sty m:val="p"/>
            </m:rPr>
            <m:t>-</m:t>
          </m:r>
          <m:r>
            <m:rPr>
              <m:sty m:val="p"/>
            </m:rPr>
            <m:t>14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K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∩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k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|</m:t>
                  </m:r>
                </m:num>
                <m:den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k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|</m:t>
                  </m:r>
                </m:den>
              </m:f>
            </m:e>
          </m:nary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top-</m:t>
          </m:r>
          <m:r>
            <m:t>N</m:t>
          </m:r>
          <m:r>
            <m:rPr>
              <m:sty m:val="p"/>
            </m:rPr>
            <m:t>(</m:t>
          </m:r>
          <m:sSub>
            <m:e>
              <m:r>
                <m:t>ϕ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rPr>
              <m:nor/>
              <m:sty m:val="p"/>
            </m:rPr>
            <m:t>-</m:t>
          </m:r>
          <m:r>
            <m:rPr>
              <m:sty m:val="p"/>
            </m:rPr>
            <m:t>18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S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s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  <m:limLow>
            <m:e>
              <m:r>
                <m:rPr>
                  <m:sty m:val="p"/>
                </m:rPr>
                <m:t>max</m:t>
              </m:r>
            </m:e>
            <m:lim>
              <m:r>
                <m:t>σ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fraktur"/>
                      <m:sty m:val="p"/>
                    </m:rPr>
                    <m:t>S</m:t>
                  </m:r>
                </m:e>
                <m:sub>
                  <m:r>
                    <m:t>K</m:t>
                  </m:r>
                </m:sub>
              </m:sSub>
            </m:lim>
          </m:limLow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cos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,</m:t>
              </m:r>
              <m:sSubSup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bSup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over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reseeded refits, with</w:t>
      </w:r>
      <w:r>
        <w:t xml:space="preserve"> </w:t>
      </w:r>
      <m:oMath>
        <m:sSubSup>
          <m:e>
            <m:r>
              <m:rPr>
                <m:sty m:val="bi"/>
              </m:rPr>
              <m:t>u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the top-</w:t>
      </w:r>
      <m:oMath>
        <m:r>
          <m:t>N</m:t>
        </m:r>
      </m:oMath>
      <w:r>
        <w:t xml:space="preserve"> </w:t>
      </w:r>
      <w:r>
        <w:t xml:space="preserve">indicator</w:t>
      </w:r>
      <w:r>
        <w:t xml:space="preserve"> </w:t>
      </w:r>
      <w:r>
        <w:t xml:space="preserve">vector of topic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run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rPr>
                  <m:nor/>
                  <m:sty m:val="p"/>
                </m:rPr>
                <m:t>-</m:t>
              </m:r>
              <m:r>
                <m:rPr>
                  <m:sty m:val="p"/>
                </m:rPr>
                <m:t>22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r>
                <m:t>&amp;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δ</m:t>
                  </m:r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m:t>|</m:t>
                      </m:r>
                      <m:r>
                        <m:t>V</m:t>
                      </m:r>
                      <m:r>
                        <m:rPr>
                          <m:sty m:val="p"/>
                        </m:rPr>
                        <m:t>|</m:t>
                      </m:r>
                    </m:sup>
                  </m:sSup>
                </m:lim>
              </m:limLow>
              <m:sSub>
                <m:e>
                  <m:d>
                    <m:dPr>
                      <m:begChr m:val="‖"/>
                      <m:sepChr m:val=""/>
                      <m:endChr m:val="‖"/>
                      <m:grow/>
                    </m:dPr>
                    <m:e>
                      <m:r>
                        <m:t>δ</m:t>
                      </m:r>
                    </m:e>
                  </m:d>
                </m:e>
                <m:sub>
                  <m:r>
                    <m:t>1</m:t>
                  </m:r>
                </m:sub>
              </m:sSub>
              <m:r>
                <m:t> </m:t>
              </m:r>
              <m:r>
                <m:t> </m:t>
              </m:r>
              <m:r>
                <m:rPr>
                  <m:nor/>
                  <m:sty m:val="p"/>
                </m:rPr>
                <m:t>s.t.</m:t>
              </m:r>
            </m:e>
            <m:e>
              <m:r>
                <m:t>&amp;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max</m:t>
                  </m:r>
                </m:e>
                <m:lim>
                  <m:r>
                    <m:t>k</m:t>
                  </m:r>
                </m:lim>
              </m:limLow>
              <m:sSub>
                <m:e>
                  <m:r>
                    <m:t>θ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+</m:t>
              </m:r>
              <m: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max</m:t>
                  </m:r>
                </m:e>
                <m:lim>
                  <m:r>
                    <m:t>k</m:t>
                  </m:r>
                </m:lim>
              </m:limLow>
              <m:sSub>
                <m:e>
                  <m:r>
                    <m:t>θ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n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+</m:t>
              </m:r>
              <m:r>
                <m:t>δ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reported as the per-scene median, capped at a sentinel</w:t>
      </w:r>
      <w: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A</m:t>
        </m:r>
        <m:r>
          <m:rPr>
            <m:sty m:val="p"/>
          </m:rPr>
          <m:t>X</m:t>
        </m:r>
        <m:r>
          <m:rPr>
            <m:sty m:val="p"/>
          </m:rPr>
          <m:t>_</m:t>
        </m:r>
        <m:r>
          <m:rPr>
            <m:sty m:val="p"/>
          </m:rPr>
          <m:t>S</m:t>
        </m:r>
        <m:r>
          <m:rPr>
            <m:sty m:val="p"/>
          </m:rPr>
          <m:t>T</m:t>
        </m:r>
        <m:r>
          <m:rPr>
            <m:sty m:val="p"/>
          </m:rPr>
          <m:t>E</m:t>
        </m:r>
        <m:r>
          <m:rPr>
            <m:sty m:val="p"/>
          </m:rPr>
          <m:t>P</m:t>
        </m:r>
        <m:r>
          <m:rPr>
            <m:sty m:val="p"/>
          </m:rPr>
          <m:t>S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when no flip is found.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rPr>
                  <m:sty m:val="p"/>
                </m:rPr>
                <m:t>[</m:t>
              </m:r>
              <m:r>
                <m:t> </m:t>
              </m:r>
              <m:r>
                <m:rPr>
                  <m:sty m:val="p"/>
                </m:rPr>
                <m:t>|</m:t>
              </m:r>
              <m:sSub>
                <m:e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∩</m:t>
              </m:r>
              <m:sSub>
                <m:e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ϕ</m:t>
                  </m:r>
                </m:e>
                <m:sub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d</m:t>
                      </m:r>
                    </m:sub>
                  </m:sSub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≥</m:t>
              </m:r>
              <m:r>
                <m:t>τ</m:t>
              </m:r>
            </m:e>
            <m:e>
              <m:r>
                <m:t>&amp;</m:t>
              </m:r>
              <m:r>
                <m:t>  </m:t>
              </m:r>
              <m:r>
                <m:t> </m:t>
              </m:r>
              <m:r>
                <m:rPr>
                  <m:sty m:val="p"/>
                </m:rPr>
                <m:t>∨</m:t>
              </m:r>
              <m:r>
                <m:t> </m:t>
              </m:r>
              <m:sSub>
                <m:e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p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∩</m:t>
              </m:r>
              <m:sSub>
                <m:e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ϕ</m:t>
                  </m:r>
                </m:e>
                <m:sub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d</m:t>
                      </m:r>
                    </m:sub>
                  </m:sSub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∅</m:t>
              </m:r>
              <m:r>
                <m:t> 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 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t> </m:t>
                  </m:r>
                  <m:r>
                    <m:rPr>
                      <m:sty m:val="p"/>
                    </m:rPr>
                    <m:t>∨</m:t>
                  </m:r>
                  <m:r>
                    <m:t> 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d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≥</m:t>
                  </m:r>
                  <m:r>
                    <m:t>3</m:t>
                  </m:r>
                  <m:r>
                    <m:t> </m:t>
                  </m:r>
                </m:e>
              </m:d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F</m:t>
              </m:r>
              <m:r>
                <m:rPr>
                  <m:nor/>
                  <m:sty m:val="p"/>
                </m:rPr>
                <m:t>-</m:t>
              </m:r>
              <m:r>
                <m:rPr>
                  <m:sty m:val="p"/>
                </m:rPr>
                <m:t>15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d</m:t>
                  </m:r>
                </m:e>
              </m:nary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/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center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p</m:t>
                    </m:r>
                  </m:e>
                  <m:sub>
                    <m:r>
                      <m:t>d</m:t>
                    </m:r>
                    <m:r>
                      <m:t>v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n</m:t>
                        </m:r>
                      </m:e>
                      <m:sub>
                        <m:r>
                          <m:t>d</m:t>
                        </m:r>
                        <m:r>
                          <m:t>v</m:t>
                        </m:r>
                      </m:sub>
                    </m:sSub>
                  </m:num>
                  <m:den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sSup>
                          <m:e>
                            <m:r>
                              <m:t>v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p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d</m:t>
                            </m:r>
                            <m:sSup>
                              <m:e>
                                <m:r>
                                  <m:t>v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′</m:t>
                                </m:r>
                              </m:sup>
                            </m:sSup>
                          </m:sub>
                        </m:sSub>
                      </m:e>
                    </m:nary>
                  </m:den>
                </m:f>
                <m:r>
                  <m:rPr>
                    <m:sty m:val="p"/>
                  </m:rPr>
                  <m:t>,</m:t>
                </m:r>
              </m:e>
            </m:mr>
            <m:mr>
              <m:e>
                <m:sSub>
                  <m:e>
                    <m:r>
                      <m:t>N</m:t>
                    </m:r>
                  </m:e>
                  <m:sub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f</m:t>
                    </m:r>
                    <m:r>
                      <m:rPr>
                        <m:sty m:val="p"/>
                      </m:rP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d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v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d</m:t>
                            </m:r>
                            <m:r>
                              <m:t>v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log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d</m:t>
                        </m:r>
                        <m:r>
                          <m:t>v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.</m:t>
                </m:r>
              </m:e>
            </m:mr>
          </m:m>
        </m:oMath>
      </m:oMathPara>
    </w:p>
    <w:p>
      <w:pPr>
        <w:pStyle w:val="FirstParagraph"/>
      </w:pPr>
      <m:oMath>
        <m:sSub>
          <m:e>
            <m:r>
              <m:t>N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</m:oMath>
      <w:r>
        <w:t xml:space="preserve"> </w:t>
      </w:r>
      <w:r>
        <w:t xml:space="preserve">counts the tokens that effectively carry the mass of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(or of a topic’s</w:t>
      </w:r>
      <w:r>
        <w:t xml:space="preserve"> </w:t>
      </w:r>
      <m:oMath>
        <m:sSub>
          <m:e>
            <m:r>
              <m:t>ϕ</m:t>
            </m:r>
          </m:e>
          <m:sub>
            <m:r>
              <m:t>k</m:t>
            </m:r>
          </m:sub>
        </m:sSub>
      </m:oMath>
      <w:r>
        <w:t xml:space="preserve">): it is low when the mass is concentrated</w:t>
      </w:r>
      <w:r>
        <w:t xml:space="preserve"> </w:t>
      </w:r>
      <w:r>
        <w:t xml:space="preserve">on few tokens and at most</w:t>
      </w:r>
      <w:r>
        <w:t xml:space="preserve"> </w:t>
      </w:r>
      <m:oMath>
        <m:r>
          <m:rPr>
            <m:sty m:val="p"/>
          </m:rPr>
          <m:t>|</m:t>
        </m:r>
        <m:r>
          <m:t>V</m:t>
        </m:r>
        <m:r>
          <m:rPr>
            <m:sty m:val="p"/>
          </m:rPr>
          <m:t>|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|</m:t>
              </m:r>
              <m:r>
                <m:rPr>
                  <m:scr m:val="script"/>
                  <m:sty m:val="p"/>
                </m:rPr>
                <m:t>B</m:t>
              </m:r>
              <m:r>
                <m:rPr>
                  <m:sty m:val="p"/>
                </m:rPr>
                <m:t>|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m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B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sSubSup>
                    <m:e>
                      <m:r>
                        <m:t>c</m:t>
                      </m:r>
                    </m:e>
                    <m:sub>
                      <m:r>
                        <m:t>v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</m:lim>
                  </m:limLow>
                  <m:sSubSup>
                    <m:e>
                      <m:r>
                        <m:t>c</m:t>
                      </m:r>
                    </m:e>
                    <m:sub>
                      <m:r>
                        <m:t>v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limLow>
                    <m:e>
                      <m:r>
                        <m:rPr>
                          <m:sty m:val="p"/>
                        </m:rPr>
                        <m:t>max</m:t>
                      </m:r>
                    </m:e>
                    <m:lim>
                      <m:r>
                        <m:t>j</m:t>
                      </m:r>
                    </m:lim>
                  </m:limLow>
                  <m:sSubSup>
                    <m:e>
                      <m:r>
                        <m:t>c</m:t>
                      </m:r>
                    </m:e>
                    <m:sub>
                      <m:r>
                        <m:t>v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</m:lim>
                  </m:limLow>
                  <m:sSubSup>
                    <m:e>
                      <m:r>
                        <m:t>c</m:t>
                      </m:r>
                    </m:e>
                    <m:sub>
                      <m:r>
                        <m:t>v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nary>
          <m:r>
            <m:t> 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averaged over backbones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L</m:t>
        </m:r>
        <m:r>
          <m:rPr>
            <m:sty m:val="p"/>
          </m:rPr>
          <m:t>D</m:t>
        </m:r>
        <m:r>
          <m:rPr>
            <m:sty m:val="p"/>
          </m:rPr>
          <m:t>A</m:t>
        </m:r>
        <m:r>
          <m:rPr>
            <m:sty m:val="p"/>
          </m:rPr>
          <m:t>,</m:t>
        </m:r>
        <m:r>
          <m:rPr>
            <m:sty m:val="p"/>
          </m:rPr>
          <m:t>H</m:t>
        </m:r>
        <m:r>
          <m:rPr>
            <m:sty m:val="p"/>
          </m:rPr>
          <m:t>D</m:t>
        </m:r>
        <m:r>
          <m:rPr>
            <m:sty m:val="p"/>
          </m:rPr>
          <m:t>P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r</m:t>
        </m:r>
        <m:r>
          <m:rPr>
            <m:sty m:val="p"/>
          </m:rPr>
          <m:t>o</m:t>
        </m:r>
        <m:r>
          <m:rPr>
            <m:sty m:val="p"/>
          </m:rPr>
          <m:t>d</m:t>
        </m:r>
        <m:r>
          <m:rPr>
            <m:sty m:val="p"/>
          </m:rPr>
          <m:t>L</m:t>
        </m:r>
        <m:r>
          <m:rPr>
            <m:sty m:val="p"/>
          </m:rPr>
          <m:t>D</m:t>
        </m:r>
        <m:r>
          <m:rPr>
            <m:sty m:val="p"/>
          </m:rPr>
          <m:t>A</m:t>
        </m:r>
        <m:r>
          <m:rPr>
            <m:sty m:val="p"/>
          </m:rPr>
          <m:t>,</m:t>
        </m:r>
        <m:r>
          <m:rPr>
            <m:sty m:val="p"/>
          </m:rPr>
          <m:t>E</m:t>
        </m:r>
        <m:r>
          <m:rPr>
            <m:sty m:val="p"/>
          </m:rPr>
          <m:t>T</m:t>
        </m:r>
        <m:r>
          <m:rPr>
            <m:sty m:val="p"/>
          </m:rPr>
          <m:t>M</m:t>
        </m:r>
        <m:r>
          <m:rPr>
            <m:sty m:val="p"/>
          </m:rPr>
          <m:t>}</m:t>
        </m:r>
      </m:oMath>
      <w:r>
        <w:t xml:space="preserve">;</w:t>
      </w:r>
      <w:r>
        <w:t xml:space="preserve"> </w:t>
      </w:r>
      <m:oMath>
        <m:r>
          <m:rPr>
            <m:scr m:val="script"/>
            <m:sty m:val="p"/>
          </m:rPr>
          <m:t>A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when a recipe sits near the per-backbone top everywhere.</w:t>
      </w:r>
    </w:p>
    <w:p>
      <w:pPr>
        <w:pStyle w:val="BodyText"/>
      </w:pPr>
      <w:r>
        <w:t xml:space="preserve">Equations </w:t>
      </w:r>
      <w:hyperlink w:anchor="eq:lda-gen">
        <w:r>
          <w:rPr>
            <w:rStyle w:val="Hyperlink"/>
          </w:rPr>
          <w:t xml:space="preserve">[eq:lda-gen]</w:t>
        </w:r>
      </w:hyperlink>
      <w:r>
        <w:t xml:space="preserve">–</w:t>
      </w:r>
      <w:hyperlink w:anchor="eq:affinity">
        <w:r>
          <w:rPr>
            <w:rStyle w:val="Hyperlink"/>
          </w:rPr>
          <w:t xml:space="preserve">[eq:affinity]</w:t>
        </w:r>
      </w:hyperlink>
      <w:r>
        <w:t xml:space="preserve"> </w:t>
      </w:r>
      <w:r>
        <w:t xml:space="preserve">are the shared</w:t>
      </w:r>
      <w:r>
        <w:t xml:space="preserve"> </w:t>
      </w:r>
      <w:r>
        <w:t xml:space="preserve">canonical definitions of the paper series: the LDA backbone this</w:t>
      </w:r>
      <w:r>
        <w:t xml:space="preserve"> </w:t>
      </w:r>
      <w:r>
        <w:t xml:space="preserve">paper sweeps over</w:t>
      </w:r>
      <w:r>
        <w:t xml:space="preserve"> </w:t>
      </w:r>
      <w:hyperlink w:anchor="eq:lda-gen">
        <w:r>
          <w:rPr>
            <w:rStyle w:val="Hyperlink"/>
          </w:rPr>
          <w:t xml:space="preserve">[eq:lda-gen]</w:t>
        </w:r>
      </w:hyperlink>
      <w:r>
        <w:t xml:space="preserve">, the per-row min–max quantiser</w:t>
      </w:r>
      <w:r>
        <w:t xml:space="preserve"> </w:t>
      </w:r>
      <w:hyperlink w:anchor="eq:quantiser">
        <w:r>
          <w:rPr>
            <w:rStyle w:val="Hyperlink"/>
          </w:rPr>
          <w:t xml:space="preserve">[eq:quantiser]</w:t>
        </w:r>
      </w:hyperlink>
      <w:r>
        <w:t xml:space="preserve"> </w:t>
      </w:r>
      <w:r>
        <w:t xml:space="preserve">that underlies every intensity recipe, the five</w:t>
      </w:r>
      <w:r>
        <w:t xml:space="preserve"> </w:t>
      </w:r>
      <w:r>
        <w:t xml:space="preserve">recipes referenced repeatedly below</w:t>
      </w:r>
      <w:r>
        <w:t xml:space="preserve"> </w:t>
      </w:r>
      <w:r>
        <w:t xml:space="preserve">(V1 </w:t>
      </w:r>
      <w:hyperlink w:anchor="eq:v1">
        <w:r>
          <w:rPr>
            <w:rStyle w:val="Hyperlink"/>
          </w:rPr>
          <w:t xml:space="preserve">[eq:v1]</w:t>
        </w:r>
      </w:hyperlink>
      <w:r>
        <w:t xml:space="preserve">, V3 </w:t>
      </w:r>
      <w:hyperlink w:anchor="eq:v3">
        <w:r>
          <w:rPr>
            <w:rStyle w:val="Hyperlink"/>
          </w:rPr>
          <w:t xml:space="preserve">[eq:v3]</w:t>
        </w:r>
      </w:hyperlink>
      <w:r>
        <w:t xml:space="preserve">, V8 </w:t>
      </w:r>
      <w:hyperlink w:anchor="eq:v8">
        <w:r>
          <w:rPr>
            <w:rStyle w:val="Hyperlink"/>
          </w:rPr>
          <w:t xml:space="preserve">[eq:v8]</w:t>
        </w:r>
      </w:hyperlink>
      <w:r>
        <w:t xml:space="preserve">,</w:t>
      </w:r>
      <w:r>
        <w:t xml:space="preserve"> </w:t>
      </w:r>
      <w:r>
        <w:t xml:space="preserve">V12 </w:t>
      </w:r>
      <w:hyperlink w:anchor="eq:v12">
        <w:r>
          <w:rPr>
            <w:rStyle w:val="Hyperlink"/>
          </w:rPr>
          <w:t xml:space="preserve">[eq:v12]</w:t>
        </w:r>
      </w:hyperlink>
      <w:r>
        <w:t xml:space="preserve">, V20 </w:t>
      </w:r>
      <w:hyperlink w:anchor="eq:v20">
        <w:r>
          <w:rPr>
            <w:rStyle w:val="Hyperlink"/>
          </w:rPr>
          <w:t xml:space="preserve">[eq:v20]</w:t>
        </w:r>
      </w:hyperlink>
      <w:r>
        <w:t xml:space="preserve">), and the six evaluation axes</w:t>
      </w:r>
      <w:r>
        <w:t xml:space="preserve"> </w:t>
      </w:r>
      <w:r>
        <w:t xml:space="preserve">reported here (F-1 </w:t>
      </w:r>
      <w:hyperlink w:anchor="eq:f1">
        <w:r>
          <w:rPr>
            <w:rStyle w:val="Hyperlink"/>
          </w:rPr>
          <w:t xml:space="preserve">[eq:f1]</w:t>
        </w:r>
      </w:hyperlink>
      <w:r>
        <w:t xml:space="preserve">, F-2 </w:t>
      </w:r>
      <w:hyperlink w:anchor="eq:f2">
        <w:r>
          <w:rPr>
            <w:rStyle w:val="Hyperlink"/>
          </w:rPr>
          <w:t xml:space="preserve">[eq:f2]</w:t>
        </w:r>
      </w:hyperlink>
      <w:r>
        <w:t xml:space="preserve">, F-7 </w:t>
      </w:r>
      <w:hyperlink w:anchor="eq:f7">
        <w:r>
          <w:rPr>
            <w:rStyle w:val="Hyperlink"/>
          </w:rPr>
          <w:t xml:space="preserve">[eq:f7]</w:t>
        </w:r>
      </w:hyperlink>
      <w:r>
        <w:t xml:space="preserve">,</w:t>
      </w:r>
      <w:r>
        <w:t xml:space="preserve"> </w:t>
      </w:r>
      <w:r>
        <w:t xml:space="preserve">F-14 </w:t>
      </w:r>
      <w:hyperlink w:anchor="eq:f14">
        <w:r>
          <w:rPr>
            <w:rStyle w:val="Hyperlink"/>
          </w:rPr>
          <w:t xml:space="preserve">[eq:f14]</w:t>
        </w:r>
      </w:hyperlink>
      <w:r>
        <w:t xml:space="preserve">, F-18 </w:t>
      </w:r>
      <w:hyperlink w:anchor="eq:f18">
        <w:r>
          <w:rPr>
            <w:rStyle w:val="Hyperlink"/>
          </w:rPr>
          <w:t xml:space="preserve">[eq:f18]</w:t>
        </w:r>
      </w:hyperlink>
      <w:r>
        <w:t xml:space="preserve">, F-22 </w:t>
      </w:r>
      <w:hyperlink w:anchor="eq:f22">
        <w:r>
          <w:rPr>
            <w:rStyle w:val="Hyperlink"/>
          </w:rPr>
          <w:t xml:space="preserve">[eq:f22]</w:t>
        </w:r>
      </w:hyperlink>
      <w:r>
        <w:t xml:space="preserve">). The</w:t>
      </w:r>
      <w:r>
        <w:t xml:space="preserve"> </w:t>
      </w:r>
      <w:r>
        <w:t xml:space="preserve">remaining backbones</w:t>
      </w:r>
      <w:r>
        <w:t xml:space="preserve"> </w:t>
      </w:r>
      <w:hyperlink w:anchor="eq:hdp-gen">
        <w:r>
          <w:rPr>
            <w:rStyle w:val="Hyperlink"/>
          </w:rPr>
          <w:t xml:space="preserve">[eq:hdp-gen]</w:t>
        </w:r>
      </w:hyperlink>
      <w:r>
        <w:t xml:space="preserve">–</w:t>
      </w:r>
      <w:hyperlink w:anchor="eq:etm-beta">
        <w:r>
          <w:rPr>
            <w:rStyle w:val="Hyperlink"/>
          </w:rPr>
          <w:t xml:space="preserve">[eq:etm-beta]</w:t>
        </w:r>
      </w:hyperlink>
      <w:r>
        <w:t xml:space="preserve"> </w:t>
      </w:r>
      <w:r>
        <w:t xml:space="preserve">enter in the</w:t>
      </w:r>
      <w:r>
        <w:t xml:space="preserve"> </w:t>
      </w:r>
      <w:r>
        <w:t xml:space="preserve">cross-backbone factorial of §</w:t>
      </w:r>
      <w:hyperlink w:anchor="sec:extensions">
        <w:r>
          <w:rPr>
            <w:rStyle w:val="Hyperlink"/>
          </w:rPr>
          <w:t xml:space="preserve">11</w:t>
        </w:r>
      </w:hyperlink>
      <w:r>
        <w:t xml:space="preserve">.</w:t>
      </w:r>
    </w:p>
    <w:p>
      <w:pPr>
        <w:pStyle w:val="BodyText"/>
      </w:pPr>
      <w:r>
        <w:t xml:space="preserve">We define each recipe as a map</w:t>
      </w:r>
      <w:r>
        <w:t xml:space="preserve"> </w:t>
      </w:r>
      <m:oMath>
        <m:sSub>
          <m:e>
            <m:r>
              <m:rPr>
                <m:sty m:val="p"/>
              </m:rPr>
              <m:t>w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y</m:t>
            </m:r>
          </m:e>
          <m:sub>
            <m:r>
              <m:t>V</m:t>
            </m:r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B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|</m:t>
            </m:r>
            <m:sSub>
              <m:e>
                <m:r>
                  <m:rPr>
                    <m:scr m:val="script"/>
                    <m:sty m:val="p"/>
                  </m:rPr>
                  <m:t>V</m:t>
                </m:r>
              </m:e>
              <m:sub>
                <m:r>
                  <m:t>V</m:t>
                </m:r>
              </m:sub>
            </m:sSub>
            <m:r>
              <m:rPr>
                <m:sty m:val="p"/>
              </m:rPr>
              <m:t>|</m:t>
            </m:r>
          </m:sup>
        </m:sSup>
      </m:oMath>
      <w:r>
        <w:t xml:space="preserve"> </w:t>
      </w:r>
      <w:r>
        <w:t xml:space="preserve">from a normalised pixel spectrum to a</w:t>
      </w:r>
      <w:r>
        <w:t xml:space="preserve"> </w:t>
      </w:r>
      <w:r>
        <w:t xml:space="preserve">non-negative count vector over a recipe-specific vocabulary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V</m:t>
            </m:r>
          </m:e>
          <m:sub>
            <m:r>
              <m:t>V</m:t>
            </m:r>
          </m:sub>
        </m:sSub>
      </m:oMath>
      <w:r>
        <w:t xml:space="preserve">. Figure </w:t>
      </w:r>
      <w:hyperlink w:anchor="fig:taxonomy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groups the nineteen built</w:t>
      </w:r>
      <w:r>
        <w:t xml:space="preserve"> </w:t>
      </w:r>
      <w:r>
        <w:t xml:space="preserve">recipes (V1–V15, V17–V20) into seven semantic families;</w:t>
      </w:r>
      <w:r>
        <w:t xml:space="preserve"> </w:t>
      </w:r>
      <w:r>
        <w:t xml:space="preserve">Table </w:t>
      </w:r>
      <w:hyperlink w:anchor="tab:recipes">
        <w:r>
          <w:rPr>
            <w:rStyle w:val="Hyperlink"/>
          </w:rPr>
          <w:t xml:space="preserve">[tab:recipes]</w:t>
        </w:r>
      </w:hyperlink>
      <w:r>
        <w:t xml:space="preserve"> </w:t>
      </w:r>
      <w:r>
        <w:t xml:space="preserve">states each recipe formally and</w:t>
      </w:r>
      <w:r>
        <w:t xml:space="preserve"> </w:t>
      </w:r>
      <w:r>
        <w:t xml:space="preserve">§</w:t>
      </w:r>
      <w:hyperlink w:anchor="subsec:design-axes">
        <w:r>
          <w:rPr>
            <w:rStyle w:val="Hyperlink"/>
          </w:rPr>
          <w:t xml:space="preserve">3.1</w:t>
        </w:r>
      </w:hyperlink>
      <w:r>
        <w:t xml:space="preserve"> </w:t>
      </w:r>
      <w:r>
        <w:t xml:space="preserve">groups them by seven axes of design freedom.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alphabet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Construction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|</m:t>
              </m:r>
              <m:r>
                <m:rPr>
                  <m:scr m:val="script"/>
                  <m:sty m:val="p"/>
                </m:rPr>
                <m:t>V</m:t>
              </m:r>
              <m:r>
                <m:rPr>
                  <m:sty m:val="p"/>
                </m:rPr>
                <m:t>|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 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n</m:t>
                  </m:r>
                </m:e>
              </m:ba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(band, q-bin)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∀</m:t>
              </m:r>
              <m:r>
                <m:t>b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n</m:t>
                  </m:r>
                </m:e>
                <m:sub>
                  <m:r>
                    <m:t>Q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450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q-bin (band-agnostic)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 band: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n</m:t>
                  </m:r>
                </m:e>
                <m:sub>
                  <m:r>
                    <m:t>Q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Q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 (band, bin)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∀</m:t>
              </m:r>
              <m:r>
                <m:t>b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n</m:t>
                  </m:r>
                </m:e>
                <m:sub>
                  <m:r>
                    <m:t>Q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joint vocab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⋅</m:t>
              </m:r>
              <m:r>
                <m:t>Q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derivative-bin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n</m:t>
                  </m:r>
                </m:e>
                <m:sub>
                  <m:r>
                    <m:t>Q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b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sSubSup>
                <m:e>
                  <m:r>
                    <m:t>x</m:t>
                  </m:r>
                </m:e>
                <m:sub>
                  <m:r>
                    <m:t>b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585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2nd-derivative bin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n</m:t>
                  </m:r>
                </m:e>
                <m:sub>
                  <m:r>
                    <m:t>Q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b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sSubSup>
                <m:e>
                  <m:r>
                    <m:t>x</m:t>
                  </m:r>
                </m:e>
                <m:sub>
                  <m:r>
                    <m:t>b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622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wavelet coefficient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Db4 level-4 DWT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}</m:t>
              </m:r>
            </m:oMath>
            <w:r>
              <w:t xml:space="preserve">, each binned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≈</m:t>
              </m:r>
              <m:r>
                <m:t>B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absorption triplet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continuum-removed; per feature (centre, depth-bin, area-bin)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≤</m:t>
              </m:r>
              <m:sSub>
                <m:e>
                  <m:r>
                    <m:t>C</m:t>
                  </m:r>
                </m:e>
                <m:sub>
                  <m:r>
                    <m:t>b</m:t>
                  </m:r>
                </m:sub>
              </m:sSub>
              <m:sSup>
                <m:e>
                  <m:r>
                    <m:t>Q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≤</m:t>
              </m:r>
              <m:r>
                <m:t>6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endmember-fraction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NFINDR endmembers; token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with count from its NNLS abundance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K</m:t>
                  </m:r>
                </m:e>
                <m:sub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+ SAM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Felzenszwalb region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n</m:t>
                  </m:r>
                </m:e>
                <m:sub>
                  <m:r>
                    <m:t>Q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R</m:t>
              </m:r>
              <m:r>
                <m:t>Q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band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VNIR / SWIR-1 / SWIR-2;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n</m:t>
                  </m:r>
                </m:e>
                <m:sub>
                  <m:r>
                    <m:t>Q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3</m:t>
              </m:r>
              <m:r>
                <m:t>Q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3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product-quantisation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PQ(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>
                <m:t>Q</m:t>
              </m:r>
            </m:oMath>
            <w:r>
              <w:t xml:space="preserve">);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per sub-vector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M</m:t>
              </m:r>
              <m:r>
                <m:t>Q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M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GMM-component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1-D GMM with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components on the raw band intensities;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b</m:t>
                  </m:r>
                </m:sub>
              </m:sSub>
            </m:oMath>
            <w:r>
              <w:t xml:space="preserve"> </w:t>
            </w:r>
            <w:r>
              <w:t xml:space="preserve">= most probable component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t>Q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VQ-VAE codebook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PyTorch VQ-VAE,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 </w:t>
            </w:r>
            <w:r>
              <w:t xml:space="preserve">sub-vectors,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32</m:t>
              </m:r>
            </m:oMath>
            <w:r>
              <w:t xml:space="preserve"> </w:t>
            </w:r>
            <w:r>
              <w:t xml:space="preserve">codewords, ST-estimator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M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128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M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CWT-Morlet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log-scales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8 position buckets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magnitude bins; top-16 cells by magnitude per pixel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16</m:t>
              </m:r>
              <m:r>
                <m:rPr>
                  <m:sty m:val="p"/>
                </m:rPr>
                <m:t>⋅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Q</m:t>
              </m:r>
              <m:r>
                <m:rPr>
                  <m:sty m:val="p"/>
                </m:rPr>
                <m:t>=</m:t>
              </m:r>
              <m:r>
                <m:t>1024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16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spectral indices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NDVI, MNDWI, NBR, NDSI, EVI, SAVI; per-index q-bin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idx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Q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idx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sparse-coding atom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MiniBatch dictionary learning, lasso-LARS,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n</m:t>
                  </m:r>
                  <m:r>
                    <m:t>z</m:t>
                  </m:r>
                </m:sub>
              </m:sSub>
              <m:r>
                <m:rPr>
                  <m:sty m:val="p"/>
                </m:rPr>
                <m:t>=</m:t>
              </m:r>
              <m:r>
                <m:t>8</m:t>
              </m:r>
            </m:oMath>
            <w:r>
              <w:t xml:space="preserve">; (atom, abundance-bin)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atoms</m:t>
                  </m:r>
                </m:sub>
              </m:sSub>
              <m:r>
                <m:t>Q</m:t>
              </m:r>
              <m:r>
                <m:rPr>
                  <m:sty m:val="p"/>
                </m:rPr>
                <m:t>=</m:t>
              </m:r>
              <m:r>
                <m:t>512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graph-Laplacian eigvec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kNN (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) cosine affinity, sym-normalised Laplacian; first</w:t>
            </w:r>
            <w:r>
              <w:t xml:space="preserve"> </w:t>
            </w:r>
            <m:oMath>
              <m:r>
                <m:t>16</m:t>
              </m:r>
            </m:oMath>
            <w:r>
              <w:t xml:space="preserve"> </w:t>
            </w:r>
            <w:r>
              <w:t xml:space="preserve">eigenvectors percentile-binned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16</m:t>
              </m:r>
              <m:r>
                <m:t>Q</m:t>
              </m:r>
              <m:r>
                <m:rPr>
                  <m:sty m:val="p"/>
                </m:rPr>
                <m:t>=</m:t>
              </m:r>
              <m:r>
                <m:t>128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16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UMAP coordinate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 UMAP (n_neighbors=15, min_dist=0.1); per-axis q-bin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3</m:t>
              </m:r>
              <m:r>
                <m:t>Q</m:t>
              </m:r>
              <m:r>
                <m:rPr>
                  <m:sty m:val="p"/>
                </m:rPr>
                <m:t>=</m:t>
              </m:r>
              <m:r>
                <m:t>24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3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MI-weighted 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 with per-band copies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8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⋅</m:t>
              </m:r>
              <m:r>
                <m:t>Q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1187</m:t>
              </m:r>
            </m:oMath>
          </w:p>
        </w:tc>
      </w:tr>
    </w:tbl>
    <w:bookmarkStart w:id="29" w:name="subsec:design-axes"/>
    <w:p>
      <w:pPr>
        <w:pStyle w:val="Heading2"/>
      </w:pPr>
      <w:r>
        <w:t xml:space="preserve">Seven axes of design freedom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Token alphabet.</w:t>
      </w:r>
      <w:r>
        <w:t xml:space="preserve"> </w:t>
      </w:r>
      <w:r>
        <w:t xml:space="preserve">Intensity (V1, V2, V10, V12, V20),</w:t>
      </w:r>
      <w:r>
        <w:t xml:space="preserve"> </w:t>
      </w:r>
      <w:r>
        <w:t xml:space="preserve">local derivative (V4, V5), multi-scale (V6, V14), absorption (V7),</w:t>
      </w:r>
      <w:r>
        <w:t xml:space="preserve"> </w:t>
      </w:r>
      <w:r>
        <w:t xml:space="preserve">mixing fractions (V8, V15), spatial-aware (V9), encoded subspaces</w:t>
      </w:r>
      <w:r>
        <w:t xml:space="preserve"> </w:t>
      </w:r>
      <w:r>
        <w:t xml:space="preserve">(V11, V13, V17, V19), graph-spectral (V18).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Spatial vs. spectral.</w:t>
      </w:r>
      <w:r>
        <w:t xml:space="preserve"> </w:t>
      </w:r>
      <w:r>
        <w:t xml:space="preserve">Pure spectral: V1–V8, V10–V15,</w:t>
      </w:r>
      <w:r>
        <w:t xml:space="preserve"> </w:t>
      </w:r>
      <w:r>
        <w:t xml:space="preserve">V17–V20; spatial-aware via adjacency: V9; spatial-aware via</w:t>
      </w:r>
      <w:r>
        <w:t xml:space="preserve"> </w:t>
      </w:r>
      <w:r>
        <w:t xml:space="preserve">embedding manifold: V18 (kNN graph) and V19 (UMAP).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Local vs. global vocabulary.</w:t>
      </w:r>
      <w:r>
        <w:t xml:space="preserve"> </w:t>
      </w:r>
      <w:r>
        <w:t xml:space="preserve">Local per-band: V1,</w:t>
      </w:r>
      <w:r>
        <w:t xml:space="preserve"> </w:t>
      </w:r>
      <w:r>
        <w:t xml:space="preserve">V3, V4, V5, V12, V20; global band-agnostic: V2, V11, V13, V17,</w:t>
      </w:r>
      <w:r>
        <w:t xml:space="preserve"> </w:t>
      </w:r>
      <w:r>
        <w:t xml:space="preserve">V18, V19; coarse group-level: V10, V8, V14, V15; sparse</w:t>
      </w:r>
      <w:r>
        <w:t xml:space="preserve"> </w:t>
      </w:r>
      <w:r>
        <w:t xml:space="preserve">event-level: V7, V9.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Document length</w:t>
      </w:r>
      <w:r>
        <w:t xml:space="preserve"> </w:t>
      </w:r>
      <w:r>
        <w:t xml:space="preserve">(mean tokens per document on Indian</w:t>
      </w:r>
      <w:r>
        <w:t xml:space="preserve"> </w:t>
      </w:r>
      <w:r>
        <w:t xml:space="preserve">Pines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8</m:t>
        </m:r>
      </m:oMath>
      <w:r>
        <w:t xml:space="preserve">). Dense,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or more: V2, V3 and V12 (</w:t>
      </w:r>
      <m:oMath>
        <m:r>
          <m:t>B</m:t>
        </m:r>
        <m:r>
          <m:rPr>
            <m:sty m:val="p"/>
          </m:rPr>
          <m:t>=</m:t>
        </m:r>
        <m:r>
          <m:t>200</m:t>
        </m:r>
      </m:oMath>
      <w:r>
        <w:t xml:space="preserve">),</w:t>
      </w:r>
      <w:r>
        <w:t xml:space="preserve"> </w:t>
      </w:r>
      <w:r>
        <w:t xml:space="preserve">V1 (450), V4 (585), V5 (622) and V20 (1187, label-weighted); medium,</w:t>
      </w:r>
      <w:r>
        <w:t xml:space="preserve"> </w:t>
      </w:r>
      <w:r>
        <w:t xml:space="preserve">14–75: V6 (75), V8 (14), V14 and V18 (16); short, 3–6: V7, V10,</w:t>
      </w:r>
      <w:r>
        <w:t xml:space="preserve"> </w:t>
      </w:r>
      <w:r>
        <w:t xml:space="preserve">V11, V13, V15, V17, V19; a single token: V9.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Signal transform.</w:t>
      </w:r>
      <w:r>
        <w:t xml:space="preserve"> </w:t>
      </w:r>
      <w:r>
        <w:t xml:space="preserve">None (V1–V3, V8, V10, V20),</w:t>
      </w:r>
      <w:r>
        <w:t xml:space="preserve"> </w:t>
      </w:r>
      <w:r>
        <w:t xml:space="preserve">differencing (V4, V5), wavelet (V6, V14), continuum-removed</w:t>
      </w:r>
      <w:r>
        <w:t xml:space="preserve"> </w:t>
      </w:r>
      <w:r>
        <w:t xml:space="preserve">absorption (V7), spectral-index (V15), graph-Laplacian (V18),</w:t>
      </w:r>
      <w:r>
        <w:t xml:space="preserve"> </w:t>
      </w:r>
      <w:r>
        <w:t xml:space="preserve">manifold embedding (V19).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Learnt vs. fixed vocabulary.</w:t>
      </w:r>
      <w:r>
        <w:t xml:space="preserve"> </w:t>
      </w:r>
      <w:r>
        <w:t xml:space="preserve">Fixed (V1–V7,</w:t>
      </w:r>
      <w:r>
        <w:t xml:space="preserve"> </w:t>
      </w:r>
      <w:r>
        <w:t xml:space="preserve">V10, V14, V15); learnt unsupervised (V8 NFINDR, V11 PQ codebook,</w:t>
      </w:r>
      <w:r>
        <w:t xml:space="preserve"> </w:t>
      </w:r>
      <w:r>
        <w:t xml:space="preserve">V12 GMM, V13 VQ-VAE, V17 dictionary, V18 spectral, V19 UMAP);</w:t>
      </w:r>
      <w:r>
        <w:t xml:space="preserve"> </w:t>
      </w:r>
      <w:r>
        <w:t xml:space="preserve">learnt with labels (V20).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Label awareness.</w:t>
      </w:r>
      <w:r>
        <w:t xml:space="preserve"> </w:t>
      </w:r>
      <w:r>
        <w:t xml:space="preserve">Label-blind: V1–V19; label-aware</w:t>
      </w:r>
      <w:r>
        <w:t xml:space="preserve"> </w:t>
      </w:r>
      <w:r>
        <w:t xml:space="preserve">via per-band MI re-weighting: V20.</w:t>
      </w:r>
    </w:p>
    <w:bookmarkEnd w:id="29"/>
    <w:bookmarkEnd w:id="30"/>
    <w:bookmarkStart w:id="37" w:name="sec:method"/>
    <w:p>
      <w:pPr>
        <w:pStyle w:val="Heading1"/>
      </w:pPr>
      <w:r>
        <w:t xml:space="preserve">Method</w:t>
      </w:r>
    </w:p>
    <w:bookmarkStart w:id="34" w:name="fig:spectrum-to-tokens"/>
    <w:p>
      <w:pPr>
        <w:pStyle w:val="CaptionedFigure"/>
      </w:pPr>
      <w:r>
        <w:drawing>
          <wp:inline>
            <wp:extent cx="5067300" cy="2721482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p3-spectrum-to-tokens.pdf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721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From spectrum to LDA tokens. A normalised pixel spectrum</w:t>
      </w:r>
      <w:r>
        <w:t xml:space="preserve"> </w:t>
      </w:r>
      <m:oMath>
        <m:sSub>
          <m:e>
            <m:r>
              <m:t>x</m:t>
            </m:r>
          </m:e>
          <m:sub>
            <m:r>
              <m:t>d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mapped to a doc-term count vector</w:t>
      </w:r>
      <w:r>
        <w:t xml:space="preserve"> </w:t>
      </w:r>
      <m:oMath>
        <m:sSub>
          <m:e>
            <m:r>
              <m:t>n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by a</w:t>
      </w:r>
      <w:r>
        <w:t xml:space="preserve"> </w:t>
      </w:r>
      <w:r>
        <w:t xml:space="preserve">recipe-specific</w:t>
      </w:r>
      <w:r>
        <w:t xml:space="preserve"> </w:t>
      </w:r>
      <m:oMath>
        <m:sSub>
          <m:e>
            <m:r>
              <m:rPr>
                <m:sty m:val="p"/>
              </m:rPr>
              <m:t>w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y</m:t>
            </m:r>
          </m:e>
          <m:sub>
            <m:r>
              <m:t>V</m:t>
            </m:r>
          </m:sub>
        </m:sSub>
      </m:oMath>
      <w:r>
        <w:t xml:space="preserve">. The intensity recipes apply the</w:t>
      </w:r>
      <w:r>
        <w:t xml:space="preserve"> </w:t>
      </w:r>
      <w:r>
        <w:t xml:space="preserve">per-row min–max quantiser</w:t>
      </w:r>
      <w:r>
        <w:t xml:space="preserve"> </w:t>
      </w:r>
      <m:oMath>
        <m:sSub>
          <m:e>
            <m:r>
              <m:t>q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q:quantiser">
        <w:r>
          <w:rPr>
            <w:rStyle w:val="Hyperlink"/>
          </w:rPr>
          <w:t xml:space="preserve">[eq:quantiser]</w:t>
        </w:r>
      </w:hyperlink>
      <w:r>
        <w:t xml:space="preserve">: V1</w:t>
      </w:r>
      <w:r>
        <w:t xml:space="preserve"> </w:t>
      </w:r>
      <w:r>
        <w:t xml:space="preserve">emits one band token per band with multiplicity equal to its quantised</w:t>
      </w:r>
      <w:r>
        <w:t xml:space="preserve"> </w:t>
      </w:r>
      <w:r>
        <w:t xml:space="preserve">intensity</w:t>
      </w:r>
      <w:r>
        <w:t xml:space="preserve"> </w:t>
      </w:r>
      <w:hyperlink w:anchor="eq:v1">
        <w:r>
          <w:rPr>
            <w:rStyle w:val="Hyperlink"/>
          </w:rPr>
          <w:t xml:space="preserve">[eq:v1]</w:t>
        </w:r>
      </w:hyperlink>
      <w:r>
        <w:t xml:space="preserve">; V3 emits a single joint (band, bin) token per</w:t>
      </w:r>
      <w:r>
        <w:t xml:space="preserve"> </w:t>
      </w:r>
      <w:r>
        <w:t xml:space="preserve">band</w:t>
      </w:r>
      <w:r>
        <w:t xml:space="preserve"> </w:t>
      </w:r>
      <w:hyperlink w:anchor="eq:v3">
        <w:r>
          <w:rPr>
            <w:rStyle w:val="Hyperlink"/>
          </w:rPr>
          <w:t xml:space="preserve">[eq:v3]</w:t>
        </w:r>
      </w:hyperlink>
      <w:r>
        <w:t xml:space="preserve">; V20 re-emits each V3 token</w:t>
      </w:r>
      <w:r>
        <w:t xml:space="preserve"> </w:t>
      </w:r>
      <m:oMath>
        <m:sSub>
          <m:e>
            <m:r>
              <m:t>w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times, with the</w:t>
      </w:r>
      <w:r>
        <w:t xml:space="preserve"> </w:t>
      </w:r>
      <w:r>
        <w:t xml:space="preserve">per-band weight set by the normalised mutual information of band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 the label</w:t>
      </w:r>
      <w:r>
        <w:t xml:space="preserve"> </w:t>
      </w:r>
      <w:hyperlink w:anchor="eq:v20">
        <w:r>
          <w:rPr>
            <w:rStyle w:val="Hyperlink"/>
          </w:rPr>
          <w:t xml:space="preserve">[eq:v20]</w:t>
        </w:r>
      </w:hyperlink>
      <w:r>
        <w:t xml:space="preserve">. The resulting bag of tokens is the</w:t>
      </w:r>
      <w:r>
        <w:t xml:space="preserve"> </w:t>
      </w:r>
      <w:r>
        <w:t xml:space="preserve">document that LDA</w:t>
      </w:r>
      <w:r>
        <w:t xml:space="preserve"> </w:t>
      </w:r>
      <w:hyperlink w:anchor="eq:lda-gen">
        <w:r>
          <w:rPr>
            <w:rStyle w:val="Hyperlink"/>
          </w:rPr>
          <w:t xml:space="preserve">[eq:lda-gen]</w:t>
        </w:r>
      </w:hyperlink>
      <w:r>
        <w:t xml:space="preserve"> </w:t>
      </w:r>
      <w:r>
        <w:t xml:space="preserve">fits.</w:t>
      </w:r>
    </w:p>
    <w:bookmarkEnd w:id="34"/>
    <w:bookmarkStart w:id="35" w:name="subsec:k-policy"/>
    <w:p>
      <w:pPr>
        <w:pStyle w:val="Heading2"/>
      </w:pPr>
      <w:r>
        <w:t xml:space="preserve">Per-V K-policy</w:t>
      </w:r>
    </w:p>
    <w:p>
      <w:pPr>
        <w:pStyle w:val="FirstParagraph"/>
      </w:pPr>
      <w:r>
        <w:t xml:space="preserve">The canonical fit defined in P1 uses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12</m:t>
        </m:r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rPr>
                <m:nor/>
                <m:sty m:val="p"/>
              </m:rPr>
              <m:t>classes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holds K constant across recipes, which suits recipes with long</w:t>
      </w:r>
      <w:r>
        <w:t xml:space="preserve"> </w:t>
      </w:r>
      <w:r>
        <w:t xml:space="preserve">documents (V1 averages 450 tokens per document on Indian Pines), but</w:t>
      </w:r>
      <w:r>
        <w:t xml:space="preserve"> </w:t>
      </w:r>
      <w:r>
        <w:t xml:space="preserve">over-prescribes K when the document length collapses (V7 at</w:t>
      </w:r>
      <w:r>
        <w:t xml:space="preserve"> </w:t>
      </w:r>
      <m:oMath>
        <m:r>
          <m:rPr>
            <m:sty m:val="p"/>
          </m:rPr>
          <m:t>≤</m:t>
        </m:r>
        <m:r>
          <m:t>6</m:t>
        </m:r>
      </m:oMath>
      <w:r>
        <w:t xml:space="preserve">, V9 at 1, V10 at 3, V11 at 4). We therefore set K from the mean</w:t>
      </w:r>
      <w:r>
        <w:t xml:space="preserve"> </w:t>
      </w:r>
      <w:r>
        <w:t xml:space="preserve">document length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V</m:t>
            </m:r>
          </m:sub>
        </m:sSub>
      </m:oMath>
      <w:r>
        <w:t xml:space="preserve"> </w:t>
      </w:r>
      <w:r>
        <w:t xml:space="preserve">of each recipe and scene: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K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P1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V</m:t>
                        </m:r>
                      </m:sub>
                    </m:sSub>
                    <m:r>
                      <m:rPr>
                        <m:sty m:val="p"/>
                      </m:rPr>
                      <m:t>≥</m:t>
                    </m:r>
                    <m:r>
                      <m:t>8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l</m:t>
                    </m:r>
                    <m:r>
                      <m:rPr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p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o</m:t>
                        </m:r>
                        <m:r>
                          <m:rPr>
                            <m:sty m:val="p"/>
                          </m:rPr>
                          <m:t>u</m:t>
                        </m:r>
                        <m:r>
                          <m:rPr>
                            <m:sty m:val="p"/>
                          </m:rPr>
                          <m:t>n</m:t>
                        </m:r>
                        <m:r>
                          <m:rPr>
                            <m:sty m:val="p"/>
                          </m:rPr>
                          <m:t>d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L</m:t>
                                </m:r>
                              </m:e>
                            </m:acc>
                          </m:e>
                          <m:sub>
                            <m:r>
                              <m:t>V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sSub>
                          <m:e>
                            <m:r>
                              <m:t>K</m:t>
                            </m:r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m:t>P1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2.5</m:t>
                    </m:r>
                    <m:r>
                      <m:rPr>
                        <m:sty m:val="p"/>
                      </m:rPr>
                      <m:t>≤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V</m:t>
                        </m:r>
                      </m:sub>
                    </m:sSub>
                    <m:r>
                      <m:rPr>
                        <m:sty m:val="p"/>
                      </m:rPr>
                      <m:t>&lt;</m:t>
                    </m:r>
                    <m:r>
                      <m:t>8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V</m:t>
                        </m:r>
                      </m:sub>
                    </m:sSub>
                    <m:r>
                      <m:rPr>
                        <m:sty m:val="p"/>
                      </m:rPr>
                      <m:t>&lt;</m:t>
                    </m:r>
                    <m:r>
                      <m:t>2.5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P1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12</m:t>
        </m:r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rPr>
                <m:nor/>
                <m:sty m:val="p"/>
              </m:rPr>
              <m:t>classes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 This</w:t>
      </w:r>
      <w:r>
        <w:t xml:space="preserve"> </w:t>
      </w:r>
      <w:r>
        <w:t xml:space="preserve">keeps V1–V6, V8, V12, V14, V18 and V20 at the P1 K, sets V9 to 4, and</w:t>
      </w:r>
      <w:r>
        <w:t xml:space="preserve"> </w:t>
      </w:r>
      <w:r>
        <w:t xml:space="preserve">reduces V7, V10, V11, V13, V15, V17 and V19 to 3. The one exception is</w:t>
      </w:r>
      <w:r>
        <w:t xml:space="preserve"> </w:t>
      </w:r>
      <w:r>
        <w:t xml:space="preserve">V10 on Pavia U, whose 430–860 nm range covers only one of V10’s three</w:t>
      </w:r>
      <w:r>
        <w:t xml:space="preserve"> </w:t>
      </w:r>
      <w:r>
        <w:t xml:space="preserve">band groups: its documents hold a single token and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35"/>
    <w:bookmarkStart w:id="36" w:name="other-experimental-settings"/>
    <w:p>
      <w:pPr>
        <w:pStyle w:val="Heading2"/>
      </w:pPr>
      <w:r>
        <w:t xml:space="preserve">Other experimental settings</w:t>
      </w:r>
    </w:p>
    <w:p>
      <w:pPr>
        <w:pStyle w:val="FirstParagraph"/>
      </w:pPr>
      <w:r>
        <w:t xml:space="preserve">The topic backbone is online-variational-Bayes LDA</w:t>
      </w:r>
      <w:r>
        <w:t xml:space="preserve"> </w:t>
      </w:r>
      <w:hyperlink w:anchor="eq:lda-gen">
        <w:r>
          <w:rPr>
            <w:rStyle w:val="Hyperlink"/>
          </w:rPr>
          <w:t xml:space="preserve">[eq:lda-gen]</w:t>
        </w:r>
      </w:hyperlink>
      <w:r>
        <w:t xml:space="preserve"> </w:t>
      </w:r>
      <w:r>
        <w:t xml:space="preserve">throughout (the cross-backbone HDP / ProdLDA / ETM extensions of</w:t>
      </w:r>
      <w:r>
        <w:t xml:space="preserve"> </w:t>
      </w:r>
      <w:r>
        <w:t xml:space="preserve">§</w:t>
      </w:r>
      <w:hyperlink w:anchor="sec:extensions">
        <w:r>
          <w:rPr>
            <w:rStyle w:val="Hyperlink"/>
          </w:rPr>
          <w:t xml:space="preserve">11</w:t>
        </w:r>
      </w:hyperlink>
      <w:r>
        <w:t xml:space="preserve"> </w:t>
      </w:r>
      <w:r>
        <w:t xml:space="preserve">substitute</w:t>
      </w:r>
      <w:r>
        <w:t xml:space="preserve"> </w:t>
      </w:r>
      <w:hyperlink w:anchor="eq:hdp-gen">
        <w:r>
          <w:rPr>
            <w:rStyle w:val="Hyperlink"/>
          </w:rPr>
          <w:t xml:space="preserve">[eq:hdp-gen]</w:t>
        </w:r>
      </w:hyperlink>
      <w:r>
        <w:t xml:space="preserve">,</w:t>
      </w:r>
      <w:r>
        <w:t xml:space="preserve"> </w:t>
      </w:r>
      <w:hyperlink w:anchor="eq:prodlda-gen">
        <w:r>
          <w:rPr>
            <w:rStyle w:val="Hyperlink"/>
          </w:rPr>
          <w:t xml:space="preserve">[eq:prodlda-gen]</w:t>
        </w:r>
      </w:hyperlink>
      <w:r>
        <w:t xml:space="preserve"> </w:t>
      </w:r>
      <w:r>
        <w:t xml:space="preserve">and</w:t>
      </w:r>
      <w:r>
        <w:t xml:space="preserve"> </w:t>
      </w:r>
      <w:hyperlink w:anchor="eq:etm-beta">
        <w:r>
          <w:rPr>
            <w:rStyle w:val="Hyperlink"/>
          </w:rPr>
          <w:t xml:space="preserve">[eq:etm-beta]</w:t>
        </w:r>
      </w:hyperlink>
      <w:r>
        <w:t xml:space="preserve"> </w:t>
      </w:r>
      <w:r>
        <w:t xml:space="preserve">respectively). All other settings are inherited</w:t>
      </w:r>
      <w:r>
        <w:t xml:space="preserve"> </w:t>
      </w:r>
      <w:r>
        <w:t xml:space="preserve">verbatim from P1 (the</w:t>
      </w:r>
      <w:r>
        <w:t xml:space="preserve"> </w:t>
      </w:r>
      <w:r>
        <w:t xml:space="preserve">“Canonical fit”</w:t>
      </w:r>
      <w:r>
        <w:t xml:space="preserve"> </w:t>
      </w:r>
      <w:r>
        <w:t xml:space="preserve">subsection of that paper):</w:t>
      </w:r>
      <w:r>
        <w:t xml:space="preserve"> </w:t>
      </w:r>
      <w:r>
        <w:t xml:space="preserve">same stratified-pixel sample, same online-VB hyperparameters, same</w:t>
      </w:r>
      <w:r>
        <w:t xml:space="preserve"> </w:t>
      </w:r>
      <w:r>
        <w:t xml:space="preserve">five-fold StratifiedKFold, same per-fold LDA refit-no-leakage protocol</w:t>
      </w:r>
      <w:r>
        <w:t xml:space="preserve"> </w:t>
      </w:r>
      <w:r>
        <w:t xml:space="preserve">and the same per-fold macro-F1, which §</w:t>
      </w:r>
      <w:hyperlink w:anchor="sec:bayes">
        <w:r>
          <w:rPr>
            <w:rStyle w:val="Hyperlink"/>
          </w:rPr>
          <w:t xml:space="preserve">9</w:t>
        </w:r>
      </w:hyperlink>
      <w:r>
        <w:t xml:space="preserve"> </w:t>
      </w:r>
      <w:r>
        <w:t xml:space="preserve">summarises with</w:t>
      </w:r>
      <w:r>
        <w:t xml:space="preserve"> </w:t>
      </w:r>
      <w:r>
        <w:t xml:space="preserve">bootstrap intervals.</w:t>
      </w:r>
    </w:p>
    <w:bookmarkEnd w:id="36"/>
    <w:bookmarkEnd w:id="37"/>
    <w:bookmarkStart w:id="39" w:name="sec:results"/>
    <w:p>
      <w:pPr>
        <w:pStyle w:val="Heading1"/>
      </w:pPr>
      <w:r>
        <w:t xml:space="preserve">F-1: classification under V-sweep</w:t>
      </w:r>
    </w:p>
    <w:p>
      <w:pPr>
        <w:pStyle w:val="FirstParagraph"/>
      </w:pPr>
      <w:r>
        <w:t xml:space="preserve">We follow the F-1 protocol of P1: per-V K-policy, 5-fold</w:t>
      </w:r>
      <w:r>
        <w:t xml:space="preserve"> </w:t>
      </w:r>
      <w:r>
        <w:t xml:space="preserve">StratifiedKFold (</w:t>
      </w:r>
      <w:r>
        <w:rPr>
          <w:rStyle w:val="VerbatimChar"/>
        </w:rPr>
        <w:t xml:space="preserve">random_state</w:t>
      </w:r>
      <w:r>
        <w:t xml:space="preserve"> </w:t>
      </w:r>
      <w:r>
        <w:t xml:space="preserve">= 42), per-fold LDA refit with no</w:t>
      </w:r>
      <w:r>
        <w:t xml:space="preserve"> </w:t>
      </w:r>
      <w:r>
        <w:t xml:space="preserve">test-set leakage at the LDA fit step, two methods reported per cell</w:t>
      </w:r>
      <w:r>
        <w:t xml:space="preserve"> </w:t>
      </w:r>
      <w:r>
        <w:t xml:space="preserve">(</w:t>
      </w:r>
      <w:r>
        <w:rPr>
          <w:i/>
          <w:iCs/>
        </w:rPr>
        <w:t xml:space="preserve">raw_logistic</w:t>
      </w:r>
      <w:r>
        <w:t xml:space="preserve"> </w:t>
      </w:r>
      <w:r>
        <w:t xml:space="preserve">baseline and</w:t>
      </w:r>
      <w:r>
        <w:t xml:space="preserve"> </w:t>
      </w:r>
      <w:r>
        <w:rPr>
          <w:i/>
          <w:iCs/>
        </w:rPr>
        <w:t xml:space="preserve">topic_routed_soft</w:t>
      </w:r>
      <w:r>
        <w:t xml:space="preserve">, the</w:t>
      </w:r>
      <w:r>
        <w:t xml:space="preserve"> </w:t>
      </w:r>
      <w:r>
        <w:t xml:space="preserve">soft-gated per-topic specialist ensemble from P1). The reported score</w:t>
      </w:r>
      <w:r>
        <w:t xml:space="preserve"> </w:t>
      </w:r>
      <w:r>
        <w:t xml:space="preserve">is the macro-averaged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q:f1">
        <w:r>
          <w:rPr>
            <w:rStyle w:val="Hyperlink"/>
          </w:rPr>
          <w:t xml:space="preserve">[eq:f1]</w:t>
        </w:r>
      </w:hyperlink>
      <w:r>
        <w:t xml:space="preserve">, computed per fold and</w:t>
      </w:r>
      <w:r>
        <w:t xml:space="preserve"> </w:t>
      </w:r>
      <w:r>
        <w:t xml:space="preserve">averaged.</w:t>
      </w:r>
    </w:p>
    <w:bookmarkStart w:id="38" w:name="v20-leakage-caveat"/>
    <w:p>
      <w:pPr>
        <w:pStyle w:val="Heading4"/>
      </w:pPr>
      <w:r>
        <w:t xml:space="preserve">V20 leakage caveat</w:t>
      </w:r>
    </w:p>
    <w:p>
      <w:pPr>
        <w:pStyle w:val="FirstParagraph"/>
      </w:pPr>
      <w:r>
        <w:t xml:space="preserve">V20 wordification computes per-band</w:t>
      </w:r>
      <w:r>
        <w:t xml:space="preserve"> </w:t>
      </w:r>
      <w:r>
        <w:t xml:space="preserve">mutual information weights using the full labelled stratified sample</w:t>
      </w:r>
      <w:r>
        <w:t xml:space="preserve"> </w:t>
      </w:r>
      <w:r>
        <w:t xml:space="preserve">(</w:t>
      </w:r>
      <m:oMath>
        <m:r>
          <m:rPr>
            <m:nor/>
            <m:sty m:val="p"/>
          </m:rPr>
          <m:t>SAMPLES_PER_CLASS</m:t>
        </m:r>
        <m:r>
          <m:rPr>
            <m:sty m:val="p"/>
          </m:rPr>
          <m:t>=</m:t>
        </m:r>
        <m:r>
          <m:t>220</m:t>
        </m:r>
      </m:oMath>
      <w:r>
        <w:t xml:space="preserve">) before the F-1 5-fold split. The</w:t>
      </w:r>
      <w:r>
        <w:t xml:space="preserve"> </w:t>
      </w:r>
      <w:r>
        <w:t xml:space="preserve">resulting</w:t>
      </w:r>
      <w:r>
        <w:t xml:space="preserve"> </w:t>
      </w:r>
      <w:r>
        <w:rPr>
          <w:rStyle w:val="VerbatimChar"/>
        </w:rPr>
        <w:t xml:space="preserve">doc_term</w:t>
      </w:r>
      <w:r>
        <w:t xml:space="preserve"> </w:t>
      </w:r>
      <w:r>
        <w:t xml:space="preserve">matrix therefore encodes test-fold label</w:t>
      </w:r>
      <w:r>
        <w:t xml:space="preserve"> </w:t>
      </w:r>
      <w:r>
        <w:t xml:space="preserve">information into the vocabulary structure. The per-fold LDA refit</w:t>
      </w:r>
      <w:r>
        <w:t xml:space="preserve"> </w:t>
      </w:r>
      <w:r>
        <w:t xml:space="preserve">prevents downstream LDA leakage but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correct the upstream</w:t>
      </w:r>
      <w:r>
        <w:t xml:space="preserve"> </w:t>
      </w:r>
      <w:r>
        <w:t xml:space="preserve">MI weighting. V20’s F-1 macro-F1 should be read with this caveat. Its</w:t>
      </w:r>
      <w:r>
        <w:t xml:space="preserve"> </w:t>
      </w:r>
      <w:r>
        <w:t xml:space="preserve">six-scene F-1 (0.917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8</m:t>
        </m:r>
      </m:oMath>
      <w:r>
        <w:t xml:space="preserve">, 0.916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32</m:t>
        </m:r>
      </m:oMath>
      <w:r>
        <w:t xml:space="preserve">) does not</w:t>
      </w:r>
      <w:r>
        <w:t xml:space="preserve"> </w:t>
      </w:r>
      <w:r>
        <w:t xml:space="preserve">exceed that of the label-blind V2 (0.917–0.918) or V8 (0.916–0.917)</w:t>
      </w:r>
      <w:r>
        <w:t xml:space="preserve"> </w:t>
      </w:r>
      <w:r>
        <w:t xml:space="preserve">at any</w:t>
      </w:r>
      <w:r>
        <w:t xml:space="preserve"> </w:t>
      </w:r>
      <m:oMath>
        <m:r>
          <m:t>Q</m:t>
        </m:r>
      </m:oMath>
      <w:r>
        <w:t xml:space="preserve">, so the leakage produces no visible F-1 advantage, but V20</w:t>
      </w:r>
      <w:r>
        <w:t xml:space="preserve"> </w:t>
      </w:r>
      <w:r>
        <w:t xml:space="preserve">is not directly comparable with the label-blind recipes on F-1. A</w:t>
      </w:r>
      <w:r>
        <w:t xml:space="preserve"> </w:t>
      </w:r>
      <w:r>
        <w:t xml:space="preserve">nested protocol (MI weights computed per fold from the training fold</w:t>
      </w:r>
      <w:r>
        <w:t xml:space="preserve"> </w:t>
      </w:r>
      <w:r>
        <w:t xml:space="preserve">only) removes this leakage; its effect on F-1 is not measured here.</w:t>
      </w:r>
      <w:r>
        <w:t xml:space="preserve"> </w:t>
      </w:r>
      <w:r>
        <w:t xml:space="preserve">F-2, F-14, F-18 and F-22 use no labels. F-7 has no held-out fold: it is</w:t>
      </w:r>
      <w:r>
        <w:t xml:space="preserve"> </w:t>
      </w:r>
      <w:r>
        <w:t xml:space="preserve">computed on all sampled pixels, whose labels also set V20’s weights, so</w:t>
      </w:r>
      <w:r>
        <w:t xml:space="preserve"> </w:t>
      </w:r>
      <w:r>
        <w:t xml:space="preserve">V20’s F-7 measures the label alignment of a representation built with</w:t>
      </w:r>
      <w:r>
        <w:t xml:space="preserve"> </w:t>
      </w:r>
      <w:r>
        <w:t xml:space="preserve">those labels.</w:t>
      </w:r>
    </w:p>
    <w:p>
      <w:pPr>
        <w:pStyle w:val="BodyText"/>
      </w:pPr>
      <w:r>
        <w:t xml:space="preserve">Table </w:t>
      </w:r>
      <w:hyperlink w:anchor="tab:f1-full">
        <w:r>
          <w:rPr>
            <w:rStyle w:val="Hyperlink"/>
          </w:rPr>
          <w:t xml:space="preserve">[tab:f1-full]</w:t>
        </w:r>
      </w:hyperlink>
      <w:r>
        <w:t xml:space="preserve"> </w:t>
      </w:r>
      <w:r>
        <w:t xml:space="preserve">gives the mean macro-F1 across folds for</w:t>
      </w:r>
      <w:r>
        <w:t xml:space="preserve"> </w:t>
      </w:r>
      <w:r>
        <w:rPr>
          <w:i/>
          <w:iCs/>
        </w:rPr>
        <w:t xml:space="preserve">topic_routed_soft</w:t>
      </w:r>
      <w:r>
        <w:t xml:space="preserve"> </w:t>
      </w:r>
      <w:r>
        <w:t xml:space="preserve">on all 6 labelled scenes.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Scene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Botswana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Indian Pines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Kennedy SC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Pavia 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Salinas-A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0.997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0.997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Salinas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0.9163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0.9216</w:t>
            </w:r>
          </w:p>
        </w:tc>
      </w:tr>
    </w:tbl>
    <w:p>
      <w:pPr>
        <w:pStyle w:val="BodyText"/>
      </w:pPr>
      <w:r>
        <w:t xml:space="preserve">V12 leads with mean macro-F1 = 0.9216; V1 (current canonical) is sixth</w:t>
      </w:r>
      <w:r>
        <w:t xml:space="preserve"> </w:t>
      </w:r>
      <w:r>
        <w:t xml:space="preserve">at 0.9152. The spread is small (0.0082 across the twelve recipes,</w:t>
      </w:r>
      <w:r>
        <w:t xml:space="preserve"> </w:t>
      </w:r>
      <w:r>
        <w:t xml:space="preserve">0.0094 across all nineteen): V12 leads on Kennedy SC and Pavia U, V2 on</w:t>
      </w:r>
      <w:r>
        <w:t xml:space="preserve"> </w:t>
      </w:r>
      <w:r>
        <w:t xml:space="preserve">Indian Pines and Salinas, and V8 on Botswana (by 0.0007 over V3). On</w:t>
      </w:r>
      <w:r>
        <w:t xml:space="preserve"> </w:t>
      </w:r>
      <w:r>
        <w:t xml:space="preserve">Salinas-A, the easiest scene, V1 and V6 tie at 0.9970 with four</w:t>
      </w:r>
      <w:r>
        <w:t xml:space="preserve"> </w:t>
      </w:r>
      <w:r>
        <w:t xml:space="preserve">extension recipes, and all nineteen recipes lie within 0.0015.</w:t>
      </w:r>
    </w:p>
    <w:p>
      <w:pPr>
        <w:pStyle w:val="BodyText"/>
      </w:pPr>
      <w:r>
        <w:t xml:space="preserve">§</w:t>
      </w:r>
      <w:hyperlink w:anchor="sec:bayes">
        <w:r>
          <w:rPr>
            <w:rStyle w:val="Hyperlink"/>
          </w:rPr>
          <w:t xml:space="preserve">9</w:t>
        </w:r>
      </w:hyperlink>
      <w:r>
        <w:t xml:space="preserve"> </w:t>
      </w:r>
      <w:r>
        <w:t xml:space="preserve">compares the recipes with unpaired and paired</w:t>
      </w:r>
      <w:r>
        <w:t xml:space="preserve"> </w:t>
      </w:r>
      <w:r>
        <w:t xml:space="preserve">bootstrap intervals.</w:t>
      </w:r>
    </w:p>
    <w:bookmarkEnd w:id="38"/>
    <w:bookmarkEnd w:id="39"/>
    <w:bookmarkStart w:id="40" w:name="sec:f2-results"/>
    <w:p>
      <w:pPr>
        <w:pStyle w:val="Heading1"/>
      </w:pPr>
      <w:r>
        <w:t xml:space="preserve">F-2: topic–word coherence</w:t>
      </w:r>
    </w:p>
    <w:p>
      <w:pPr>
        <w:pStyle w:val="FirstParagraph"/>
      </w:pPr>
      <w:r>
        <w:t xml:space="preserve">F-2 is the</w:t>
      </w:r>
      <w:r>
        <w:t xml:space="preserve"> </w:t>
      </w:r>
      <m:oMath>
        <m:sSub>
          <m:e>
            <m:r>
              <m:t>c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coherence of</w:t>
      </w:r>
      <w:r>
        <w:t xml:space="preserve"> </w:t>
      </w:r>
      <w:hyperlink w:anchor="eq:f2">
        <w:r>
          <w:rPr>
            <w:rStyle w:val="Hyperlink"/>
          </w:rPr>
          <w:t xml:space="preserve">[eq:f2]</w:t>
        </w:r>
      </w:hyperlink>
      <w:r>
        <w:t xml:space="preserve"> </w:t>
      </w:r>
      <w:r>
        <w:t xml:space="preserve">(NPMI sliding window with</w:t>
      </w:r>
      <w:r>
        <w:t xml:space="preserve"> </w:t>
      </w:r>
      <w:r>
        <w:t xml:space="preserve">cosine aggregation, top-10 words per topic).</w:t>
      </w:r>
      <w:r>
        <w:t xml:space="preserve"> </w:t>
      </w:r>
      <w:r>
        <w:t xml:space="preserve">Table </w:t>
      </w:r>
      <w:hyperlink w:anchor="tab:f2-full">
        <w:r>
          <w:rPr>
            <w:rStyle w:val="Hyperlink"/>
          </w:rPr>
          <w:t xml:space="preserve">[tab:f2-full]</w:t>
        </w:r>
      </w:hyperlink>
      <w:r>
        <w:t xml:space="preserve"> </w:t>
      </w:r>
      <w:r>
        <w:t xml:space="preserve">reports the</w:t>
      </w:r>
      <w:r>
        <w:t xml:space="preserve"> </w:t>
      </w:r>
      <m:oMath>
        <m:r>
          <m:t>12</m:t>
        </m:r>
        <m:r>
          <m:rPr>
            <m:sty m:val="p"/>
          </m:rPr>
          <m:t>×</m:t>
        </m:r>
        <m:r>
          <m:t>5</m:t>
        </m:r>
      </m:oMath>
      <w:r>
        <w:t xml:space="preserve"> </w:t>
      </w:r>
      <w:r>
        <w:t xml:space="preserve">matrix for V1–V12</w:t>
      </w:r>
      <w:r>
        <w:t xml:space="preserve"> </w:t>
      </w:r>
      <w:r>
        <w:t xml:space="preserve">on five labelled scenes; the Botswana row and the V13–V20 recipes are</w:t>
      </w:r>
      <w:r>
        <w:t xml:space="preserve"> </w:t>
      </w:r>
      <w:r>
        <w:t xml:space="preserve">reported in Table </w:t>
      </w:r>
      <w:hyperlink w:anchor="tab:f2-full19">
        <w:r>
          <w:rPr>
            <w:rStyle w:val="Hyperlink"/>
          </w:rPr>
          <w:t xml:space="preserve">[tab:f2-full19]</w:t>
        </w:r>
      </w:hyperlink>
      <w:r>
        <w:t xml:space="preserve"> </w:t>
      </w:r>
      <w:r>
        <w:t xml:space="preserve">(Appendix </w:t>
      </w:r>
      <w:hyperlink w:anchor="app:full-matrix">
        <w:r>
          <w:rPr>
            <w:rStyle w:val="Hyperlink"/>
          </w:rPr>
          <w:t xml:space="preserve">16</w:t>
        </w:r>
      </w:hyperlink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Scene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Indian Pines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Kennedy SC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Pavia 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Salinas-A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Salinas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0.84</w:t>
            </w:r>
          </w:p>
        </w:tc>
      </w:tr>
    </w:tbl>
    <w:p>
      <w:pPr>
        <w:pStyle w:val="BodyText"/>
      </w:pPr>
      <w:r>
        <w:t xml:space="preserve">V12 (GMM-token) wins F-2 on three of the five scenes; V1 wins on Kennedy</w:t>
      </w:r>
      <w:r>
        <w:t xml:space="preserve"> </w:t>
      </w:r>
      <w:r>
        <w:t xml:space="preserve">SC and Salinas-A; V3 is competitive everywhere but wins nowhere.</w:t>
      </w:r>
    </w:p>
    <w:bookmarkEnd w:id="40"/>
    <w:bookmarkStart w:id="41" w:name="sec:f7-results"/>
    <w:p>
      <w:pPr>
        <w:pStyle w:val="Heading1"/>
      </w:pPr>
      <w:r>
        <w:t xml:space="preserve">F-7: topic–label coupling under V-sweep</w:t>
      </w:r>
    </w:p>
    <w:p>
      <w:pPr>
        <w:pStyle w:val="FirstParagraph"/>
      </w:pPr>
      <w:r>
        <w:t xml:space="preserve">F-7 is the topic–label normalised mutual information of</w:t>
      </w:r>
      <w:r>
        <w:t xml:space="preserve"> </w:t>
      </w:r>
      <w:hyperlink w:anchor="eq:f7">
        <w:r>
          <w:rPr>
            <w:rStyle w:val="Hyperlink"/>
          </w:rPr>
          <w:t xml:space="preserve">[eq:f7]</w:t>
        </w:r>
      </w:hyperlink>
      <w:r>
        <w:t xml:space="preserve">, computed between the argmax topic assignment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k</m:t>
            </m:r>
          </m:sub>
        </m:sSub>
        <m:sSub>
          <m:e>
            <m:r>
              <m:t>θ</m:t>
            </m:r>
          </m:e>
          <m:sub>
            <m:r>
              <m:t>d</m:t>
            </m:r>
            <m:r>
              <m:t>k</m:t>
            </m:r>
          </m:sub>
        </m:sSub>
      </m:oMath>
      <w:r>
        <w:t xml:space="preserve"> </w:t>
      </w:r>
      <w:r>
        <w:t xml:space="preserve">and the labelled class</w:t>
      </w:r>
      <w:r>
        <w:t xml:space="preserve"> </w:t>
      </w:r>
      <m:oMath>
        <m:sSub>
          <m:e>
            <m:r>
              <m:t>y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Table </w:t>
      </w:r>
      <w:hyperlink w:anchor="tab:f7-full">
        <w:r>
          <w:rPr>
            <w:rStyle w:val="Hyperlink"/>
          </w:rPr>
          <w:t xml:space="preserve">[tab:f7-full]</w:t>
        </w:r>
      </w:hyperlink>
      <w:r>
        <w:t xml:space="preserve"> </w:t>
      </w:r>
      <w:r>
        <w:t xml:space="preserve">reports the</w:t>
      </w:r>
      <w:r>
        <w:t xml:space="preserve"> </w:t>
      </w:r>
      <m:oMath>
        <m:r>
          <m:t>12</m:t>
        </m:r>
        <m:r>
          <m:rPr>
            <m:sty m:val="p"/>
          </m:rPr>
          <m:t>×</m:t>
        </m:r>
        <m:r>
          <m:t>5</m:t>
        </m:r>
      </m:oMath>
      <w:r>
        <w:t xml:space="preserve"> </w:t>
      </w:r>
      <w:r>
        <w:t xml:space="preserve">matrix for F-7</w:t>
      </w:r>
      <w:r>
        <w:t xml:space="preserve"> </w:t>
      </w:r>
      <w:r>
        <w:t xml:space="preserve">NMI between the argmax topic assignment and the labelled class.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Scene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Indian Pines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Kennedy SC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Pavia 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Salinas-A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Salinas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0.64</w:t>
            </w:r>
          </w:p>
        </w:tc>
      </w:tr>
    </w:tbl>
    <w:p>
      <w:pPr>
        <w:pStyle w:val="BodyText"/>
      </w:pPr>
      <w:r>
        <w:t xml:space="preserve">Within this 12-recipe view V3 wins F-7 on Kennedy SC, Salinas-A and</w:t>
      </w:r>
      <w:r>
        <w:t xml:space="preserve"> </w:t>
      </w:r>
      <w:r>
        <w:t xml:space="preserve">Indian Pines (the last by 0.002 over V8, 0.430 against 0.428) and V12</w:t>
      </w:r>
      <w:r>
        <w:t xml:space="preserve"> </w:t>
      </w:r>
      <w:r>
        <w:t xml:space="preserve">wins on Pavia U and Salinas. In the full 19-recipe sweep</w:t>
      </w:r>
      <w:r>
        <w:t xml:space="preserve"> </w:t>
      </w:r>
      <w:r>
        <w:t xml:space="preserve">(Appendix </w:t>
      </w:r>
      <w:hyperlink w:anchor="app:full-matrix">
        <w:r>
          <w:rPr>
            <w:rStyle w:val="Hyperlink"/>
          </w:rPr>
          <w:t xml:space="preserve">16</w:t>
        </w:r>
      </w:hyperlink>
      <w:r>
        <w:t xml:space="preserve">) V20 wins Indian Pines F-7 at 0.44.</w:t>
      </w:r>
      <w:r>
        <w:t xml:space="preserve"> </w:t>
      </w:r>
      <w:r>
        <w:rPr>
          <w:i/>
          <w:iCs/>
        </w:rPr>
        <w:t xml:space="preserve">V1 never wins F-7</w:t>
      </w:r>
      <w:r>
        <w:t xml:space="preserve">: on every labelled scene there is at least</w:t>
      </w:r>
      <w:r>
        <w:t xml:space="preserve"> </w:t>
      </w:r>
      <w:r>
        <w:t xml:space="preserve">one wordification that produces more label-aligned topics. This is</w:t>
      </w:r>
      <w:r>
        <w:t xml:space="preserve"> </w:t>
      </w:r>
      <w:r>
        <w:t xml:space="preserve">the strongest single-axis result in the sweep and the key</w:t>
      </w:r>
      <w:r>
        <w:t xml:space="preserve"> </w:t>
      </w:r>
      <w:r>
        <w:t xml:space="preserve">contribution against the V1-canonical assumption of the companion</w:t>
      </w:r>
      <w:r>
        <w:t xml:space="preserve"> </w:t>
      </w:r>
      <w:r>
        <w:t xml:space="preserve">paper.</w:t>
      </w:r>
    </w:p>
    <w:bookmarkEnd w:id="41"/>
    <w:bookmarkStart w:id="47" w:name="sec:f-extension-results"/>
    <w:p>
      <w:pPr>
        <w:pStyle w:val="Heading1"/>
      </w:pPr>
      <w:r>
        <w:t xml:space="preserve">F-2 and F-7 under the V13–V20 extension</w:t>
      </w:r>
    </w:p>
    <w:p>
      <w:pPr>
        <w:pStyle w:val="FirstParagraph"/>
      </w:pPr>
      <w:r>
        <w:t xml:space="preserve">Table </w:t>
      </w:r>
      <w:hyperlink w:anchor="tab:f2-extension">
        <w:r>
          <w:rPr>
            <w:rStyle w:val="Hyperlink"/>
          </w:rPr>
          <w:t xml:space="preserve">[tab:f2-extension]</w:t>
        </w:r>
      </w:hyperlink>
      <w:r>
        <w:t xml:space="preserve"> </w:t>
      </w:r>
      <w:r>
        <w:t xml:space="preserve">and Table </w:t>
      </w:r>
      <w:hyperlink w:anchor="tab:f7-extension">
        <w:r>
          <w:rPr>
            <w:rStyle w:val="Hyperlink"/>
          </w:rPr>
          <w:t xml:space="preserve">[tab:f7-extension]</w:t>
        </w:r>
      </w:hyperlink>
      <w:r>
        <w:t xml:space="preserve"> </w:t>
      </w:r>
      <w:r>
        <w:t xml:space="preserve">restate</w:t>
      </w:r>
      <w:r>
        <w:t xml:space="preserve"> </w:t>
      </w:r>
      <w:r>
        <w:t xml:space="preserve">F-2</w:t>
      </w:r>
      <w:r>
        <w:t xml:space="preserve"> </w:t>
      </w:r>
      <m:oMath>
        <m:sSub>
          <m:e>
            <m:r>
              <m:t>c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and F-7 normalised MI on a representative subset of recipes</w:t>
      </w:r>
      <w:r>
        <w:t xml:space="preserve"> </w:t>
      </w:r>
      <w:r>
        <w:t xml:space="preserve">(V1, V3, V12 as the V1–V12 reference points, plus the seven extension</w:t>
      </w:r>
      <w:r>
        <w:t xml:space="preserve"> </w:t>
      </w:r>
      <w:r>
        <w:t xml:space="preserve">recipes V13–V15 and V17–V20). The full 19-recipe matrix</w:t>
      </w:r>
      <w:r>
        <w:t xml:space="preserve"> </w:t>
      </w:r>
      <w:r>
        <w:t xml:space="preserve">is reproduced in Appendix </w:t>
      </w:r>
      <w:hyperlink w:anchor="app:full-matrix">
        <w:r>
          <w:rPr>
            <w:rStyle w:val="Hyperlink"/>
          </w:rPr>
          <w:t xml:space="preserve">16</w:t>
        </w:r>
      </w:hyperlink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Scene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Indian Pines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Salinas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Salinas-A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Pavia 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Kennedy SC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Botswana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0.85</w:t>
            </w:r>
          </w:p>
        </w:tc>
      </w:tr>
    </w:tbl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Scene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Indian Pines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Salinas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Salinas-A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Pavia 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0.61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Kennedy SC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Botswana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0.52</w:t>
            </w:r>
          </w:p>
        </w:tc>
      </w:tr>
    </w:tbl>
    <w:bookmarkStart w:id="42" w:name="v20-mutual-information-weighted-bands"/>
    <w:p>
      <w:pPr>
        <w:pStyle w:val="Heading4"/>
      </w:pPr>
      <w:r>
        <w:t xml:space="preserve">V20: mutual-information-weighted bands</w:t>
      </w:r>
    </w:p>
    <w:p>
      <w:pPr>
        <w:pStyle w:val="FirstParagraph"/>
      </w:pPr>
      <w:r>
        <w:t xml:space="preserve">V20 is the cheapest answer to</w:t>
      </w:r>
      <w:r>
        <w:t xml:space="preserve"> </w:t>
      </w:r>
      <w:r>
        <w:t xml:space="preserve">“why are all bands weighted equally?”</w:t>
      </w:r>
      <w:r>
        <w:t xml:space="preserve"> </w:t>
      </w:r>
      <w:r>
        <w:t xml:space="preserve">in V3: re-emit each (band, q-bin) token</w:t>
      </w:r>
      <w:r>
        <w:t xml:space="preserve"> </w:t>
      </w:r>
      <m:oMath>
        <m:sSub>
          <m:e>
            <m:r>
              <m:t>w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times where</w:t>
      </w:r>
      <w:r>
        <w:t xml:space="preserve"> </w:t>
      </w:r>
      <m:oMath>
        <m:sSub>
          <m:e>
            <m:r>
              <m:t>w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r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d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m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b</m:t>
            </m:r>
          </m:sub>
        </m:sSub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Per-band MI is estimated once per scene on the labelled stratified</w:t>
      </w:r>
      <w:r>
        <w:t xml:space="preserve"> </w:t>
      </w:r>
      <w:r>
        <w:t xml:space="preserve">sample (the leakage caveat of §</w:t>
      </w:r>
      <w:hyperlink w:anchor="sec:results">
        <w:r>
          <w:rPr>
            <w:rStyle w:val="Hyperlink"/>
          </w:rPr>
          <w:t xml:space="preserve">5</w:t>
        </w:r>
      </w:hyperlink>
      <w:r>
        <w:t xml:space="preserve">) with</w:t>
      </w:r>
      <w:r>
        <w:t xml:space="preserve"> </w:t>
      </w:r>
      <w:r>
        <w:t xml:space="preserve">(random_state = 42); near-zero bands collapse to zero copies and</w:t>
      </w:r>
      <w:r>
        <w:t xml:space="preserve"> </w:t>
      </w:r>
      <w:r>
        <w:t xml:space="preserve">high-MI bands amplify.</w:t>
      </w:r>
      <w:r>
        <w:t xml:space="preserve"> </w:t>
      </w:r>
      <w:r>
        <w:rPr>
          <w:i/>
          <w:iCs/>
        </w:rPr>
        <w:t xml:space="preserve">V20 wins F-2 on Indian Pines (0.88) and</w:t>
      </w:r>
      <w:r>
        <w:rPr>
          <w:i/>
          <w:iCs/>
        </w:rPr>
        <w:t xml:space="preserve"> </w:t>
      </w:r>
      <w:r>
        <w:rPr>
          <w:i/>
          <w:iCs/>
        </w:rPr>
        <w:t xml:space="preserve">F-7 NMI on Indian Pines (0.44)</w:t>
      </w:r>
      <w:r>
        <w:t xml:space="preserve">, places second to V3 on Salinas-A F-7</w:t>
      </w:r>
      <w:r>
        <w:t xml:space="preserve"> </w:t>
      </w:r>
      <w:r>
        <w:t xml:space="preserve">(0.68 tie), and matches V12 within</w:t>
      </w:r>
      <w:r>
        <w:t xml:space="preserve"> </w:t>
      </w:r>
      <m:oMath>
        <m:r>
          <m:t>0.02</m:t>
        </m:r>
      </m:oMath>
      <w:r>
        <w:t xml:space="preserve"> </w:t>
      </w:r>
      <w:r>
        <w:t xml:space="preserve">NMI mean. The simplicity of</w:t>
      </w:r>
      <w:r>
        <w:t xml:space="preserve"> </w:t>
      </w:r>
      <w:r>
        <w:t xml:space="preserve">the recipe relative to V12 (no GMM, no out-of-core fit, no per-scene</w:t>
      </w:r>
      <w:r>
        <w:t xml:space="preserve"> </w:t>
      </w:r>
      <w:r>
        <w:t xml:space="preserve">clustering) makes it the most attractive of the extensions for the</w:t>
      </w:r>
      <w:r>
        <w:t xml:space="preserve"> </w:t>
      </w:r>
      <w:r>
        <w:t xml:space="preserve">“few-knob, label-aware”</w:t>
      </w:r>
      <w:r>
        <w:t xml:space="preserve"> </w:t>
      </w:r>
      <w:r>
        <w:t xml:space="preserve">regime.</w:t>
      </w:r>
    </w:p>
    <w:bookmarkEnd w:id="42"/>
    <w:bookmarkStart w:id="43" w:name="v18-graph-laplacian-eigenvector-tokens"/>
    <w:p>
      <w:pPr>
        <w:pStyle w:val="Heading4"/>
      </w:pPr>
      <w:r>
        <w:t xml:space="preserve">V18: graph-Laplacian eigenvector tokens</w:t>
      </w:r>
    </w:p>
    <w:p>
      <w:pPr>
        <w:pStyle w:val="FirstParagraph"/>
      </w:pPr>
      <w:r>
        <w:t xml:space="preserve">V18 builds a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nearest-neighbour cosine-affinity graph over the</w:t>
      </w:r>
      <w:r>
        <w:t xml:space="preserve"> </w:t>
      </w:r>
      <w:r>
        <w:t xml:space="preserve">sampled pixels, computes the symmetric-normalised Laplacian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−</m:t>
        </m:r>
        <m:sSup>
          <m:e>
            <m:r>
              <m:t>D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t>A</m:t>
        </m:r>
        <m:sSup>
          <m:e>
            <m:r>
              <m:t>D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extracts the first 16 eigenvectors via</w:t>
      </w:r>
      <w:r>
        <w:t xml:space="preserve"> </w:t>
      </w:r>
      <w:r>
        <w:rPr>
          <w:rStyle w:val="VerbatimChar"/>
        </w:rPr>
        <w:t xml:space="preserve">scipy.sparse.linalg.eigsh</w:t>
      </w:r>
      <w:r>
        <w:t xml:space="preserve"> </w:t>
      </w:r>
      <w:r>
        <w:t xml:space="preserve">(sigma-magnitude solver),</w:t>
      </w:r>
      <w:r>
        <w:t xml:space="preserve"> </w:t>
      </w:r>
      <w:r>
        <w:t xml:space="preserve">percentile-bins each eigenvector axis into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bins, and emits</w:t>
      </w:r>
      <w:r>
        <w:t xml:space="preserve"> </w:t>
      </w:r>
      <w:r>
        <w:t xml:space="preserve">one (eigenvector_id, bin) token per axis per pixel. The intuition is</w:t>
      </w:r>
      <w:r>
        <w:t xml:space="preserve"> </w:t>
      </w:r>
      <w:r>
        <w:t xml:space="preserve">that low-frequency Laplacian eigenvectors carry global manifold</w:t>
      </w:r>
      <w:r>
        <w:t xml:space="preserve"> </w:t>
      </w:r>
      <w:r>
        <w:t xml:space="preserve">structure that LDA can latch onto. The mean F-7 NMI of 0.43 places</w:t>
      </w:r>
      <w:r>
        <w:t xml:space="preserve"> </w:t>
      </w:r>
      <w:r>
        <w:t xml:space="preserve">V18 third among the extension recipes (behind V20 0.52 and V14 0.46) and</w:t>
      </w:r>
      <w:r>
        <w:t xml:space="preserve"> </w:t>
      </w:r>
      <w:r>
        <w:rPr>
          <w:i/>
          <w:iCs/>
        </w:rPr>
        <w:t xml:space="preserve">V18 produces the most coherent topics on Pavia U among the</w:t>
      </w:r>
      <w:r>
        <w:rPr>
          <w:i/>
          <w:iCs/>
        </w:rPr>
        <w:t xml:space="preserve"> </w:t>
      </w:r>
      <w:r>
        <w:rPr>
          <w:i/>
          <w:iCs/>
        </w:rPr>
        <w:t xml:space="preserve">unsupervised structure-aware extension recipes</w:t>
      </w:r>
      <w:r>
        <w:t xml:space="preserve"> </w:t>
      </w:r>
      <w:r>
        <w:t xml:space="preserve">(V13, V17, V18, V19;</w:t>
      </w:r>
      <w:r>
        <w:t xml:space="preserve"> </w:t>
      </w:r>
      <m:oMath>
        <m:sSub>
          <m:e>
            <m:r>
              <m:t>c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0.66</m:t>
        </m:r>
      </m:oMath>
      <w:r>
        <w:t xml:space="preserve">). We read V18 topics as</w:t>
      </w:r>
      <w:r>
        <w:t xml:space="preserve"> </w:t>
      </w:r>
      <w:r>
        <w:t xml:space="preserve">contiguous manifold regions rather than band-signature templates, a</w:t>
      </w:r>
      <w:r>
        <w:t xml:space="preserve"> </w:t>
      </w:r>
      <w:r>
        <w:t xml:space="preserve">reading these runs do not test.</w:t>
      </w:r>
    </w:p>
    <w:bookmarkEnd w:id="43"/>
    <w:bookmarkStart w:id="44" w:name="v14-continuous-wavelet-morlet-tokens"/>
    <w:p>
      <w:pPr>
        <w:pStyle w:val="Heading4"/>
      </w:pPr>
      <w:r>
        <w:t xml:space="preserve">V14: continuous-wavelet (Morlet) tokens</w:t>
      </w:r>
    </w:p>
    <w:p>
      <w:pPr>
        <w:pStyle w:val="FirstParagraph"/>
      </w:pPr>
      <w:r>
        <w:t xml:space="preserve">V14 emits top-16 magnitude cells from a 16-log-scale, 8-position-bucket</w:t>
      </w:r>
      <w:r>
        <w:t xml:space="preserve"> </w:t>
      </w:r>
      <w:r>
        <w:t xml:space="preserve">CWT-Morlet decomposition of the spectrum. It is the multi-scale</w:t>
      </w:r>
      <w:r>
        <w:t xml:space="preserve"> </w:t>
      </w:r>
      <w:r>
        <w:t xml:space="preserve">analogue of V6 (Db4 DWT). V14 places second among the extension recipes on</w:t>
      </w:r>
      <w:r>
        <w:t xml:space="preserve"> </w:t>
      </w:r>
      <w:r>
        <w:t xml:space="preserve">F-7 mean (0.46) and produces the second-highest</w:t>
      </w:r>
      <w:r>
        <w:t xml:space="preserve"> </w:t>
      </w:r>
      <m:oMath>
        <m:sSub>
          <m:e>
            <m:r>
              <m:t>c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on the extension</w:t>
      </w:r>
      <w:r>
        <w:t xml:space="preserve"> </w:t>
      </w:r>
      <w:r>
        <w:t xml:space="preserve">subset on Pavia U and Kennedy SC. V14 outperforms V6, the</w:t>
      </w:r>
      <w:r>
        <w:t xml:space="preserve"> </w:t>
      </w:r>
      <w:r>
        <w:t xml:space="preserve">discrete-wavelet recipe, on four of the six scenes (mean</w:t>
      </w:r>
      <w:r>
        <w:t xml:space="preserve"> </w:t>
      </w:r>
      <m:oMath>
        <m:sSub>
          <m:e>
            <m:r>
              <m:t>c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0.63</w:t>
      </w:r>
      <w:r>
        <w:t xml:space="preserve"> </w:t>
      </w:r>
      <w:r>
        <w:t xml:space="preserve">against 0.53).</w:t>
      </w:r>
    </w:p>
    <w:bookmarkEnd w:id="44"/>
    <w:bookmarkStart w:id="45" w:name="X45d8006fa77911d02650c3cf02e2e7d2047218a"/>
    <w:p>
      <w:pPr>
        <w:pStyle w:val="Heading4"/>
      </w:pPr>
      <w:r>
        <w:t xml:space="preserve">V13 / V17 / V19: underperformers and the cost of</w:t>
      </w:r>
      <w:r>
        <w:t xml:space="preserve"> </w:t>
      </w:r>
      <w:r>
        <w:t xml:space="preserve">expressiveness</w:t>
      </w:r>
    </w:p>
    <w:p>
      <w:pPr>
        <w:pStyle w:val="FirstParagraph"/>
      </w:pPr>
      <w:r>
        <w:t xml:space="preserve">V13 (VQ-VAE codebook), V17 (sparse-coding dictionary), and V19 (UMAP</w:t>
      </w:r>
      <w:r>
        <w:t xml:space="preserve"> </w:t>
      </w:r>
      <w:r>
        <w:t xml:space="preserve">coordinates) all underperform the V1/V3/V12 reference on F-2 and F-7.</w:t>
      </w:r>
      <w:r>
        <w:t xml:space="preserve"> </w:t>
      </w:r>
      <w:r>
        <w:t xml:space="preserve">V13’s mean F-2 of 0.25 is the second lowest in the nineteen-recipe</w:t>
      </w:r>
      <w:r>
        <w:t xml:space="preserve"> </w:t>
      </w:r>
      <w:r>
        <w:t xml:space="preserve">sweep, after V11 (0.23). A plausible reason is that the jointly</w:t>
      </w:r>
      <w:r>
        <w:t xml:space="preserve"> </w:t>
      </w:r>
      <w:r>
        <w:t xml:space="preserve">trained encoder, codebook and decoder (straight-through estimator)</w:t>
      </w:r>
      <w:r>
        <w:t xml:space="preserve"> </w:t>
      </w:r>
      <w:r>
        <w:t xml:space="preserve">produce compact codes suited to reconstruction rather than to the</w:t>
      </w:r>
      <w:r>
        <w:t xml:space="preserve"> </w:t>
      </w:r>
      <w:r>
        <w:t xml:space="preserve">topic-as-mixture-of-tokens assumption of LDA. V17 has the opposite</w:t>
      </w:r>
      <w:r>
        <w:t xml:space="preserve"> </w:t>
      </w:r>
      <w:r>
        <w:t xml:space="preserve">profile: a 512-token vocabulary (64 atoms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8 abundance bins)</w:t>
      </w:r>
      <w:r>
        <w:t xml:space="preserve"> </w:t>
      </w:r>
      <w:r>
        <w:t xml:space="preserve">with 3.4 tokens per document on Indian Pines (at most 8 non-zero</w:t>
      </w:r>
      <w:r>
        <w:t xml:space="preserve"> </w:t>
      </w:r>
      <w:r>
        <w:t xml:space="preserve">coefficients per pixel), a sparsity under which LDA finds few coherent</w:t>
      </w:r>
      <w:r>
        <w:t xml:space="preserve"> </w:t>
      </w:r>
      <w:r>
        <w:t xml:space="preserve">topics. V19’s</w:t>
      </w:r>
      <w:r>
        <w:t xml:space="preserve"> </w:t>
      </w:r>
      <w:r>
        <w:t xml:space="preserve">3-coordinate tokens are too few, and the per-axis percentile binning</w:t>
      </w:r>
      <w:r>
        <w:t xml:space="preserve"> </w:t>
      </w:r>
      <w:r>
        <w:t xml:space="preserve">produces tokens that are abstract (</w:t>
      </w:r>
      <w:r>
        <w:t xml:space="preserve">“UMAP-d0 q03”</w:t>
      </w:r>
      <w:r>
        <w:t xml:space="preserve">) and cannot align</w:t>
      </w:r>
      <w:r>
        <w:t xml:space="preserve"> </w:t>
      </w:r>
      <w:r>
        <w:t xml:space="preserve">with class-specific spectral signatures. The takeaway is that</w:t>
      </w:r>
      <w:r>
        <w:t xml:space="preserve"> </w:t>
      </w:r>
      <w:r>
        <w:t xml:space="preserve">expressive learnt representations need not produce LDA-friendly token</w:t>
      </w:r>
      <w:r>
        <w:t xml:space="preserve"> </w:t>
      </w:r>
      <w:r>
        <w:t xml:space="preserve">distributions; the recipe must respect the bag-of-tokens assumption.</w:t>
      </w:r>
    </w:p>
    <w:bookmarkEnd w:id="45"/>
    <w:bookmarkStart w:id="46" w:name="v15-spectral-index-tokens"/>
    <w:p>
      <w:pPr>
        <w:pStyle w:val="Heading4"/>
      </w:pPr>
      <w:r>
        <w:t xml:space="preserve">V15: spectral-index tokens</w:t>
      </w:r>
    </w:p>
    <w:p>
      <w:pPr>
        <w:pStyle w:val="FirstParagraph"/>
      </w:pPr>
      <w:r>
        <w:t xml:space="preserve">V15 emits NDVI/MNDWI/NBR/NDSI/EVI/SAVI per pixel, with each index</w:t>
      </w:r>
      <w:r>
        <w:t xml:space="preserve"> </w:t>
      </w:r>
      <w:r>
        <w:t xml:space="preserve">q-binned. V15 places below V14 on every axis (F-2 mean 0.36 vs 0.63;</w:t>
      </w:r>
      <w:r>
        <w:t xml:space="preserve"> </w:t>
      </w:r>
      <w:r>
        <w:t xml:space="preserve">F-7 mean 0.31 vs 0.46) but is the only recipe whose token names map</w:t>
      </w:r>
      <w:r>
        <w:t xml:space="preserve"> </w:t>
      </w:r>
      <w:r>
        <w:t xml:space="preserve">to a published remote-sensing semantic: in a topic-as-region</w:t>
      </w:r>
      <w:r>
        <w:t xml:space="preserve"> </w:t>
      </w:r>
      <w:r>
        <w:t xml:space="preserve">interpretation, a topic dominated by</w:t>
      </w:r>
      <w:r>
        <w:t xml:space="preserve"> </w:t>
      </w:r>
      <w:r>
        <w:t xml:space="preserve">“NDVI q05–q07”</w:t>
      </w:r>
      <w:r>
        <w:t xml:space="preserve"> </w:t>
      </w:r>
      <w:r>
        <w:t xml:space="preserve">is unambiguously</w:t>
      </w:r>
      <w:r>
        <w:t xml:space="preserve"> </w:t>
      </w:r>
      <w:r>
        <w:t xml:space="preserve">vegetated. V15 should therefore be regarded as a</w:t>
      </w:r>
      <w:r>
        <w:t xml:space="preserve"> </w:t>
      </w:r>
      <w:r>
        <w:rPr>
          <w:i/>
          <w:iCs/>
        </w:rPr>
        <w:t xml:space="preserve">semantic</w:t>
      </w:r>
      <w:r>
        <w:rPr>
          <w:i/>
          <w:iCs/>
        </w:rPr>
        <w:t xml:space="preserve"> </w:t>
      </w:r>
      <w:r>
        <w:rPr>
          <w:i/>
          <w:iCs/>
        </w:rPr>
        <w:t xml:space="preserve">baseline</w:t>
      </w:r>
      <w:r>
        <w:t xml:space="preserve"> </w:t>
      </w:r>
      <w:r>
        <w:t xml:space="preserve">rather than as a performance recipe.</w:t>
      </w:r>
    </w:p>
    <w:bookmarkEnd w:id="46"/>
    <w:bookmarkEnd w:id="47"/>
    <w:bookmarkStart w:id="50" w:name="sec:bayes"/>
    <w:p>
      <w:pPr>
        <w:pStyle w:val="Heading1"/>
      </w:pPr>
      <w:r>
        <w:t xml:space="preserve">Bootstrap comparison on F-1</w:t>
      </w:r>
    </w:p>
    <w:p>
      <w:pPr>
        <w:pStyle w:val="FirstParagraph"/>
      </w:pPr>
      <w:r>
        <w:t xml:space="preserve">We summarise each recipe’s mean macro-F1 with a bootstrap percentile</w:t>
      </w:r>
      <w:r>
        <w:t xml:space="preserve"> </w:t>
      </w:r>
      <w:r>
        <w:t xml:space="preserve">interval (</w:t>
      </w:r>
      <m:oMath>
        <m:r>
          <m:t>B</m:t>
        </m:r>
        <m:r>
          <m:rPr>
            <m:sty m:val="p"/>
          </m:rPr>
          <m:t>=</m:t>
        </m:r>
        <m:r>
          <m:t>5000</m:t>
        </m:r>
      </m:oMath>
      <w:r>
        <w:t xml:space="preserve"> </w:t>
      </w:r>
      <w:r>
        <w:t xml:space="preserve">resamples of its 30 per-fold scores,</w:t>
      </w:r>
      <w:r>
        <w:t xml:space="preserve"> </w:t>
      </w:r>
      <m:oMath>
        <m:r>
          <m:rPr>
            <m:sty m:val="p"/>
          </m:rPr>
          <m:t>r</m:t>
        </m:r>
        <m:r>
          <m:rPr>
            <m:sty m:val="p"/>
          </m:rPr>
          <m:t>a</m:t>
        </m:r>
        <m:r>
          <m:rPr>
            <m:sty m:val="p"/>
          </m:rPr>
          <m:t>n</m:t>
        </m:r>
        <m:r>
          <m:rPr>
            <m:sty m:val="p"/>
          </m:rPr>
          <m:t>d</m:t>
        </m:r>
        <m:r>
          <m:rPr>
            <m:sty m:val="p"/>
          </m:rPr>
          <m:t>o</m:t>
        </m:r>
        <m:r>
          <m:rPr>
            <m:sty m:val="p"/>
          </m:rPr>
          <m:t>m</m:t>
        </m:r>
        <m:r>
          <m:rPr>
            <m:sty m:val="p"/>
          </m:rPr>
          <m:t>_</m:t>
        </m:r>
        <m:r>
          <m:rPr>
            <m:sty m:val="p"/>
          </m:rPr>
          <m:t>s</m:t>
        </m:r>
        <m:r>
          <m:rPr>
            <m:sty m:val="p"/>
          </m:rPr>
          <m:t>t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e</m:t>
        </m:r>
        <m:r>
          <m:rPr>
            <m:sty m:val="p"/>
          </m:rPr>
          <m:t>=</m:t>
        </m:r>
        <m:r>
          <m:t>42</m:t>
        </m:r>
      </m:oMath>
      <w:r>
        <w:t xml:space="preserve">; Table </w:t>
      </w:r>
      <w:hyperlink w:anchor="tab:bootstrap">
        <w:r>
          <w:rPr>
            <w:rStyle w:val="Hyperlink"/>
          </w:rPr>
          <w:t xml:space="preserve">1</w:t>
        </w:r>
      </w:hyperlink>
      <w:r>
        <w:t xml:space="preserve">).</w:t>
      </w:r>
    </w:p>
    <w:bookmarkStart w:id="48" w:name="tab:bootstrap"/>
    <w:p>
      <w:pPr>
        <w:pStyle w:val="TableCaption"/>
      </w:pPr>
      <w:r>
        <w:t xml:space="preserve">Per-recipe bootstrap mean and 94% percentile interval</w:t>
      </w:r>
      <w:r>
        <w:t xml:space="preserve"> </w:t>
      </w:r>
      <w:r>
        <w:t xml:space="preserve">(3% and 97% quantiles of the resampled means) of the F-1 macro-F1,</w:t>
      </w:r>
      <w:r>
        <w:t xml:space="preserve"> </w:t>
      </w:r>
      <w:r>
        <w:t xml:space="preserve">topic_routed_soft, V1–V12.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er-recipe bootstrap mean and 94% percentile interval (3% and 97% quantiles of the resampled means) of the F-1 macro-F1, topic_routed_soft, V1–V12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Recipe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bootstrap 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94% interval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0.9217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[0.9005, 0.9424]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[0.8932, 0.9395]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0.9163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[0.8939, 0.9375]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0.9161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[0.8933, 0.9386]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[0.8922, 0.9381]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[0.8924, 0.9375]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[0.8927, 0.9367]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[0.8902, 0.9367]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[0.8905, 0.9360]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[0.8920, 0.9354]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[0.8881, 0.9364]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[0.8893, 0.9362]</w:t>
            </w:r>
          </w:p>
        </w:tc>
      </w:tr>
    </w:tbl>
    <w:bookmarkEnd w:id="48"/>
    <w:p>
      <w:pPr>
        <w:pStyle w:val="BodyText"/>
      </w:pPr>
      <w:r>
        <w:t xml:space="preserve">The spread between V12 (best) and V6 (worst) is</w:t>
      </w:r>
      <w:r>
        <w:t xml:space="preserve"> </w:t>
      </w:r>
      <m:oMath>
        <m:r>
          <m:t>0.0085</m:t>
        </m:r>
      </m:oMath>
      <w:r>
        <w:t xml:space="preserve">, and every</w:t>
      </w:r>
      <w:r>
        <w:t xml:space="preserve"> </w:t>
      </w:r>
      <w:r>
        <w:t xml:space="preserve">recipe’s interval contains every other recipe’s mean. These unpaired</w:t>
      </w:r>
      <w:r>
        <w:t xml:space="preserve"> </w:t>
      </w:r>
      <w:r>
        <w:t xml:space="preserve">intervals are wide because the 30 scores of a recipe mix six scenes</w:t>
      </w:r>
      <w:r>
        <w:t xml:space="preserve"> </w:t>
      </w:r>
      <w:r>
        <w:t xml:space="preserve">whose F-1 runs from 0.80 on Pavia U to 0.997 on Salinas-A, so their</w:t>
      </w:r>
      <w:r>
        <w:t xml:space="preserve"> </w:t>
      </w:r>
      <w:r>
        <w:t xml:space="preserve">overlap does not show that the recipes perform alike. All recipes share</w:t>
      </w:r>
      <w:r>
        <w:t xml:space="preserve"> </w:t>
      </w:r>
      <w:r>
        <w:t xml:space="preserve">the stratified sample and the fold split of each scene, so their fold</w:t>
      </w:r>
      <w:r>
        <w:t xml:space="preserve"> </w:t>
      </w:r>
      <w:r>
        <w:t xml:space="preserve">scores pair. Over the 30 paired (scene, fold) cells, V12 exceeds each</w:t>
      </w:r>
      <w:r>
        <w:t xml:space="preserve"> </w:t>
      </w:r>
      <w:r>
        <w:t xml:space="preserve">of the other eighteen recipes by 0.004 to 0.009 on average (V1:</w:t>
      </w:r>
      <w:r>
        <w:t xml:space="preserve"> </w:t>
      </w:r>
      <m:oMath>
        <m:r>
          <m:rPr>
            <m:sty m:val="p"/>
          </m:rPr>
          <m:t>+</m:t>
        </m:r>
        <m:r>
          <m:t>0.0064</m:t>
        </m:r>
      </m:oMath>
      <w:r>
        <w:t xml:space="preserve">, 94% paired bootstrap interval</w:t>
      </w:r>
      <w:r>
        <w:t xml:space="preserve"> </w:t>
      </w:r>
      <m:oMath>
        <m:r>
          <m:t>0.0032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0.0100</m:t>
        </m:r>
      </m:oMath>
      <w:r>
        <w:t xml:space="preserve">), and the</w:t>
      </w:r>
      <w:r>
        <w:t xml:space="preserve"> </w:t>
      </w:r>
      <w:r>
        <w:t xml:space="preserve">interval excludes zero for every recipe except V2 (</w:t>
      </w:r>
      <m:oMath>
        <m:r>
          <m:rPr>
            <m:sty m:val="p"/>
          </m:rPr>
          <m:t>+</m:t>
        </m:r>
        <m:r>
          <m:t>0.0043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0.0001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+</m:t>
        </m:r>
        <m:r>
          <m:t>0.0095</m:t>
        </m:r>
      </m:oMath>
      <w:r>
        <w:t xml:space="preserve">). The five folds of a scene share training pixels, so</w:t>
      </w:r>
      <w:r>
        <w:t xml:space="preserve"> </w:t>
      </w:r>
      <w:r>
        <w:t xml:space="preserve">these paired intervals are narrower than a resampling of independent</w:t>
      </w:r>
      <w:r>
        <w:t xml:space="preserve"> </w:t>
      </w:r>
      <w:r>
        <w:t xml:space="preserve">cells would give. On F-1 the recipes therefore differ consistently but</w:t>
      </w:r>
      <w:r>
        <w:t xml:space="preserve"> </w:t>
      </w:r>
      <w:r>
        <w:t xml:space="preserve">by less than 0.01. F-2 and F-7 separate them by far more: the spread</w:t>
      </w:r>
      <w:r>
        <w:t xml:space="preserve"> </w:t>
      </w:r>
      <w:r>
        <w:t xml:space="preserve">between the best and worst recipe mean over the five scenes of</w:t>
      </w:r>
      <w:r>
        <w:t xml:space="preserve"> </w:t>
      </w:r>
      <w:r>
        <w:t xml:space="preserve">Tables</w:t>
      </w:r>
      <w:r>
        <w:t xml:space="preserve"> </w:t>
      </w:r>
      <w:hyperlink w:anchor="tab:f2-full">
        <w:r>
          <w:rPr>
            <w:rStyle w:val="Hyperlink"/>
          </w:rPr>
          <w:t xml:space="preserve">[tab:f2-full]</w:t>
        </w:r>
      </w:hyperlink>
      <w:r>
        <w:t xml:space="preserve"> </w:t>
      </w:r>
      <w:r>
        <w:t xml:space="preserve">and</w:t>
      </w:r>
      <w:r>
        <w:t xml:space="preserve"> </w:t>
      </w:r>
      <w:hyperlink w:anchor="tab:f7-full">
        <w:r>
          <w:rPr>
            <w:rStyle w:val="Hyperlink"/>
          </w:rPr>
          <w:t xml:space="preserve">[tab:f7-full]</w:t>
        </w:r>
      </w:hyperlink>
      <w:r>
        <w:t xml:space="preserve"> </w:t>
      </w:r>
      <w:r>
        <w:t xml:space="preserve">is 0.65 on F-2 (V12</w:t>
      </w:r>
      <w:r>
        <w:t xml:space="preserve"> </w:t>
      </w:r>
      <w:r>
        <w:t xml:space="preserve">against V11) and 0.43 on F-7 (V12 against V9). The paired comparison is</w:t>
      </w:r>
      <w:r>
        <w:t xml:space="preserve"> </w:t>
      </w:r>
      <w:r>
        <w:t xml:space="preserve">computed from the archived per-fold records by</w:t>
      </w:r>
      <w:r>
        <w:t xml:space="preserve"> </w:t>
      </w:r>
      <w:r>
        <w:t xml:space="preserve">of the manuscript repository</w:t>
      </w:r>
      <w:r>
        <w:t xml:space="preserve"> </w:t>
      </w:r>
      <w:hyperlink r:id="rId49">
        <w:r>
          <w:rPr>
            <w:rStyle w:val="Hyperlink"/>
          </w:rPr>
          <w:t xml:space="preserve">https://github.com/fsantibanezleal/CAOS_LDA_HSI_Paper</w:t>
        </w:r>
      </w:hyperlink>
      <w:r>
        <w:t xml:space="preserve">.</w:t>
      </w:r>
    </w:p>
    <w:bookmarkEnd w:id="50"/>
    <w:bookmarkStart w:id="52" w:name="sec:matrix"/>
    <w:p>
      <w:pPr>
        <w:pStyle w:val="Heading1"/>
      </w:pPr>
      <w:r>
        <w:t xml:space="preserve">The joint result matrix</w:t>
      </w:r>
    </w:p>
    <w:p>
      <w:pPr>
        <w:pStyle w:val="FirstParagraph"/>
      </w:pPr>
      <w:r>
        <w:t xml:space="preserve">Across F-1, F-2 and F-7 on the six labelled scenes, each recipe’s win</w:t>
      </w:r>
      <w:r>
        <w:t xml:space="preserve"> </w:t>
      </w:r>
      <w:r>
        <w:t xml:space="preserve">count is:</w:t>
      </w:r>
    </w:p>
    <w:bookmarkStart w:id="51" w:name="tab:wincount"/>
    <w:p>
      <w:pPr>
        <w:pStyle w:val="TableCaption"/>
      </w:pPr>
      <w:r>
        <w:t xml:space="preserve">Per-axis win count for each recipe over the nineteen-recipe</w:t>
      </w:r>
      <w:r>
        <w:t xml:space="preserve"> </w:t>
      </w:r>
      <w:r>
        <w:t xml:space="preserve">sweep on the six labelled scenes (F-1: topic_routed_soft macro-F1).</w:t>
      </w:r>
      <w:r>
        <w:t xml:space="preserve"> </w:t>
      </w:r>
      <w:r>
        <w:t xml:space="preserve">The Salinas-A F-1 cell is a six-way tie at 0.9970 (V1, V6, V13, V14,</w:t>
      </w:r>
      <w:r>
        <w:t xml:space="preserve"> </w:t>
      </w:r>
      <w:r>
        <w:t xml:space="preserve">V18, V20) and is not counted. Total = sum across F-1, F-2 and F-7.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er-axis win count for each recipe over the nineteen-recipe sweep on the six labelled scenes (F-1: topic_routed_soft macro-F1). The Salinas-A F-1 cell is a six-way tie at 0.9970 (V1, V6, V13, V14, V18, V20) and is not counted. Total = sum across F-1, F-2 and F-7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Recipe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F-1 wins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F-2 wins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F-7 wins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</w:tbl>
    <w:bookmarkEnd w:id="51"/>
    <w:p>
      <w:pPr>
        <w:pStyle w:val="BodyText"/>
      </w:pPr>
      <w:r>
        <w:t xml:space="preserve">V12 is the most consistent winner across the three axes, but the</w:t>
      </w:r>
      <w:r>
        <w:t xml:space="preserve"> </w:t>
      </w:r>
      <w:r>
        <w:t xml:space="preserve">nineteen-recipe sweep redistributes the F-2 and F-7 wins of the</w:t>
      </w:r>
      <w:r>
        <w:t xml:space="preserve"> </w:t>
      </w:r>
      <w:r>
        <w:t xml:space="preserve">twelve-recipe view. V20 captures one F-2 win (Indian Pines,</w:t>
      </w:r>
      <w:r>
        <w:t xml:space="preserve"> </w:t>
      </w:r>
      <m:oMath>
        <m:r>
          <m:t>0.88</m:t>
        </m:r>
      </m:oMath>
      <w:r>
        <w:t xml:space="preserve">)</w:t>
      </w:r>
      <w:r>
        <w:t xml:space="preserve"> </w:t>
      </w:r>
      <w:r>
        <w:t xml:space="preserve">and one F-7 win (Indian Pines,</w:t>
      </w:r>
      <w:r>
        <w:t xml:space="preserve"> </w:t>
      </w:r>
      <m:oMath>
        <m:r>
          <m:t>0.44</m:t>
        </m:r>
      </m:oMath>
      <w:r>
        <w:t xml:space="preserve">); on Indian Pines F-7 four</w:t>
      </w:r>
      <w:r>
        <w:t xml:space="preserve"> </w:t>
      </w:r>
      <w:r>
        <w:t xml:space="preserve">recipes lie within 0.018 NMI (Table </w:t>
      </w:r>
      <w:hyperlink w:anchor="tab:f7-full19">
        <w:r>
          <w:rPr>
            <w:rStyle w:val="Hyperlink"/>
          </w:rPr>
          <w:t xml:space="preserve">[tab:f7-full19]</w:t>
        </w:r>
      </w:hyperlink>
      <w:r>
        <w:t xml:space="preserve">: V20 0.442,</w:t>
      </w:r>
      <w:r>
        <w:t xml:space="preserve"> </w:t>
      </w:r>
      <w:r>
        <w:t xml:space="preserve">V3 0.430, V8 0.428, V12 0.424). On F-7, V3 keeps its Kennedy SC and</w:t>
      </w:r>
      <w:r>
        <w:t xml:space="preserve"> </w:t>
      </w:r>
      <w:r>
        <w:t xml:space="preserve">Salinas-A wins and loses Indian Pines, its third twelve-recipe win, to</w:t>
      </w:r>
      <w:r>
        <w:t xml:space="preserve"> </w:t>
      </w:r>
      <w:r>
        <w:t xml:space="preserve">V20. V1 (current canonical) wins F-2 on Kennedy SC and Salinas-A,</w:t>
      </w:r>
      <w:r>
        <w:t xml:space="preserve"> </w:t>
      </w:r>
      <w:r>
        <w:t xml:space="preserve">shares the six-way F-1 tie on Salinas-A, and never wins F-7. The</w:t>
      </w:r>
      <w:r>
        <w:t xml:space="preserve"> </w:t>
      </w:r>
      <w:r>
        <w:t xml:space="preserve">spread between V12, V3 and V20 on F-7 mean is only</w:t>
      </w:r>
      <w:r>
        <w:t xml:space="preserve"> </w:t>
      </w:r>
      <m:oMath>
        <m:r>
          <m:t>0.014</m:t>
        </m:r>
      </m:oMath>
      <w:r>
        <w:t xml:space="preserve"> </w:t>
      </w:r>
      <w:r>
        <w:t xml:space="preserve">NMI: a flat</w:t>
      </w:r>
      <w:r>
        <w:t xml:space="preserve"> </w:t>
      </w:r>
      <w:r>
        <w:t xml:space="preserve">top, not a sharp peak.</w:t>
      </w:r>
    </w:p>
    <w:bookmarkEnd w:id="52"/>
    <w:bookmarkStart w:id="84" w:name="sec:extensions"/>
    <w:p>
      <w:pPr>
        <w:pStyle w:val="Heading1"/>
      </w:pPr>
      <w:r>
        <w:t xml:space="preserve">Extension axes F-13, F-14, F-17, F-18, F-22 and backbone factorial</w:t>
      </w:r>
    </w:p>
    <w:p>
      <w:pPr>
        <w:pStyle w:val="FirstParagraph"/>
      </w:pPr>
      <w:r>
        <w:t xml:space="preserve">Five further axes extend the framework beyond F-1–F-12, and a</w:t>
      </w:r>
      <w:r>
        <w:t xml:space="preserve"> </w:t>
      </w:r>
      <w:r>
        <w:t xml:space="preserve">backbone factorial repeats F-2 and F-7 under three alternative topic</w:t>
      </w:r>
      <w:r>
        <w:t xml:space="preserve"> </w:t>
      </w:r>
      <w:r>
        <w:t xml:space="preserve">models. Each is described briefly here; the full per-recipe, per-scene tables and the</w:t>
      </w:r>
      <w:r>
        <w:t xml:space="preserve"> </w:t>
      </w:r>
      <w:r>
        <w:t xml:space="preserve">code that builds them are released with the code repository (Data</w:t>
      </w:r>
      <w:r>
        <w:t xml:space="preserve"> </w:t>
      </w:r>
      <w:r>
        <w:t xml:space="preserve">availability). The quantiser sweep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8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t>32</m:t>
        </m:r>
        <m:r>
          <m:rPr>
            <m:sty m:val="p"/>
          </m:rPr>
          <m:t>}</m:t>
        </m:r>
      </m:oMath>
      <w:r>
        <w:t xml:space="preserve"> </w:t>
      </w:r>
      <w:r>
        <w:t xml:space="preserve">of F-2 and</w:t>
      </w:r>
      <w:r>
        <w:t xml:space="preserve"> </w:t>
      </w:r>
      <w:r>
        <w:t xml:space="preserve">F-7 under LDA is shown in Fig. </w:t>
      </w:r>
      <w:hyperlink w:anchor="fig:q-sensitivity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(all nineteen</w:t>
      </w:r>
      <w:r>
        <w:t xml:space="preserve"> </w:t>
      </w:r>
      <w:r>
        <w:t xml:space="preserve">recipes) and Fig. </w:t>
      </w:r>
      <w:hyperlink w:anchor="fig:per-scene-q-winners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(per-scene F-7</w:t>
      </w:r>
      <w:r>
        <w:t xml:space="preserve"> </w:t>
      </w:r>
      <w:r>
        <w:t xml:space="preserve">winners); Fig. </w:t>
      </w:r>
      <w:hyperlink w:anchor="fig:radar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profiles six recipes over the eight</w:t>
      </w:r>
      <w:r>
        <w:t xml:space="preserve"> </w:t>
      </w:r>
      <w:r>
        <w:t xml:space="preserve">axes, and Fig. </w:t>
      </w:r>
      <w:hyperlink w:anchor="fig:corr">
        <w:r>
          <w:rPr>
            <w:rStyle w:val="Hyperlink"/>
          </w:rPr>
          <w:t xml:space="preserve">8</w:t>
        </w:r>
      </w:hyperlink>
      <w:r>
        <w:t xml:space="preserve"> </w:t>
      </w:r>
      <w:r>
        <w:t xml:space="preserve">gives the rank correlation between the</w:t>
      </w:r>
      <w:r>
        <w:t xml:space="preserve"> </w:t>
      </w:r>
      <w:r>
        <w:t xml:space="preserve">axes.</w:t>
      </w:r>
    </w:p>
    <w:p>
      <w:pPr>
        <w:pStyle w:val="BodyText"/>
      </w:pPr>
      <w:r>
        <w:rPr>
          <w:b/>
          <w:bCs/>
        </w:rPr>
        <w:t xml:space="preserve">F-13 SHAP attribution.</w:t>
      </w:r>
      <w:r>
        <w:t xml:space="preserve"> </w:t>
      </w:r>
      <w:r>
        <w:t xml:space="preserve">For every (V, scene) we attribute</w:t>
      </w:r>
      <w:r>
        <w:t xml:space="preserve"> </w:t>
      </w:r>
      <m:oMath>
        <m:sSub>
          <m:e>
            <m:r>
              <m:t>θ</m:t>
            </m:r>
          </m:e>
          <m:sub>
            <m:r>
              <m:t>d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to recipe-specific tokens using SHAP’s KernelExplainer</w:t>
      </w:r>
      <w:r>
        <w:t xml:space="preserve"> </w:t>
      </w:r>
      <w:r>
        <w:t xml:space="preserve">on a closed-form posterior and report the top-8 tokens per topic by</w:t>
      </w:r>
      <w:r>
        <w:t xml:space="preserve"> </w:t>
      </w:r>
      <w:r>
        <w:t xml:space="preserve">mean absolute SHAP. These attributions are archived (Data availability)</w:t>
      </w:r>
      <w:r>
        <w:t xml:space="preserve"> </w:t>
      </w:r>
      <w:r>
        <w:t xml:space="preserve">and not analysed in this paper.</w:t>
      </w:r>
    </w:p>
    <w:p>
      <w:pPr>
        <w:pStyle w:val="BodyText"/>
      </w:pPr>
      <w:r>
        <w:rPr>
          <w:b/>
          <w:bCs/>
        </w:rPr>
        <w:t xml:space="preserve">F-14 repetitiveness.</w:t>
      </w:r>
      <w:r>
        <w:t xml:space="preserve"> </w:t>
      </w:r>
      <w:r>
        <w:t xml:space="preserve">Mean off-diagonal top-10 Jaccard between</w:t>
      </w:r>
      <w:r>
        <w:t xml:space="preserve"> </w:t>
      </w:r>
      <w:r>
        <w:t xml:space="preserve">topics</w:t>
      </w:r>
      <w:r>
        <w:t xml:space="preserve"> </w:t>
      </w:r>
      <w:hyperlink w:anchor="eq:f14">
        <w:r>
          <w:rPr>
            <w:rStyle w:val="Hyperlink"/>
          </w:rPr>
          <w:t xml:space="preserve">[eq:f14]</w:t>
        </w:r>
      </w:hyperlink>
      <w:r>
        <w:t xml:space="preserve">. Lower is better. Per-recipe mean across six</w:t>
      </w:r>
      <w:r>
        <w:t xml:space="preserve"> </w:t>
      </w:r>
      <w:r>
        <w:t xml:space="preserve">scenes:</w:t>
      </w:r>
      <w:r>
        <w:t xml:space="preserve"> </w:t>
      </w:r>
      <w:r>
        <w:t xml:space="preserve">V9 = 0.000, V17 = 0.003, V7 = 0.009, V12 = 0.009, V3 = 0.012;</w:t>
      </w:r>
      <w:r>
        <w:t xml:space="preserve"> </w:t>
      </w:r>
      <w:r>
        <w:t xml:space="preserve">V1 = 0.200 (mid-pack); V6 = 0.738, V8 = 0.868 and V2 = 1.000. V2 and</w:t>
      </w:r>
      <w:r>
        <w:t xml:space="preserve"> </w:t>
      </w:r>
      <w:r>
        <w:t xml:space="preserve">V8 meet the vocabulary criterion stated under F-18 below (at most 12</w:t>
      </w:r>
      <w:r>
        <w:t xml:space="preserve"> </w:t>
      </w:r>
      <w:r>
        <w:t xml:space="preserve">word types), so any two of their top-10 sets share at least 8 tokens</w:t>
      </w:r>
      <w:r>
        <w:t xml:space="preserve"> </w:t>
      </w:r>
      <w:r>
        <w:t xml:space="preserve">and their F-14 values are high by construction; V6’s vocabulary has</w:t>
      </w:r>
      <w:r>
        <w:t xml:space="preserve"> </w:t>
      </w:r>
      <w:r>
        <w:t xml:space="preserve">131–230 word types, of which 14–58 occur in the documents of a</w:t>
      </w:r>
      <w:r>
        <w:t xml:space="preserve"> </w:t>
      </w:r>
      <w:r>
        <w:t xml:space="preserve">scene.</w:t>
      </w:r>
    </w:p>
    <w:p>
      <w:pPr>
        <w:pStyle w:val="BodyText"/>
      </w:pPr>
      <w:r>
        <w:rPr>
          <w:b/>
          <w:bCs/>
        </w:rPr>
        <w:t xml:space="preserve">F-17 cross-scene transfer.</w:t>
      </w:r>
      <w:r>
        <w:t xml:space="preserve"> </w:t>
      </w:r>
      <w:r>
        <w:t xml:space="preserve">Fit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on scene S1, transform</w:t>
      </w:r>
      <w:r>
        <w:t xml:space="preserve"> </w:t>
      </w:r>
      <w:r>
        <w:t xml:space="preserve">S2’s documents, compute F-7 NMI on the target. Only vocab-portable</w:t>
      </w:r>
      <w:r>
        <w:t xml:space="preserve"> </w:t>
      </w:r>
      <w:r>
        <w:t xml:space="preserve">recipes (V2, V10, V11) qualify. V2 transfers best at 0.32 mean NMI;</w:t>
      </w:r>
      <w:r>
        <w:t xml:space="preserve"> </w:t>
      </w:r>
      <w:r>
        <w:t xml:space="preserve">V11 0.19; V10 0.10.</w:t>
      </w:r>
    </w:p>
    <w:p>
      <w:pPr>
        <w:pStyle w:val="BodyText"/>
      </w:pPr>
      <w:r>
        <w:rPr>
          <w:b/>
          <w:bCs/>
        </w:rPr>
        <w:t xml:space="preserve">F-18 reliability.</w:t>
      </w:r>
      <w:r>
        <w:t xml:space="preserve"> </w:t>
      </w:r>
      <w:r>
        <w:t xml:space="preserve">Greene et al. (2014) protocol</w:t>
      </w:r>
      <w:r>
        <w:t xml:space="preserve"> </w:t>
      </w:r>
      <w:r>
        <w:t xml:space="preserve">(Greene et al. 2014)</w:t>
      </w:r>
      <w:r>
        <w:t xml:space="preserve">:</w:t>
      </w:r>
      <w:r>
        <w:t xml:space="preserve"> </w:t>
      </w:r>
      <w:r>
        <w:t xml:space="preserve">Hungarian-matched</w:t>
      </w:r>
      <w:r>
        <w:t xml:space="preserve"> </w:t>
      </w:r>
      <w:r>
        <w:t xml:space="preserve">(Kuhn 1955)</w:t>
      </w:r>
      <w:r>
        <w:t xml:space="preserve"> </w:t>
      </w:r>
      <w:r>
        <w:t xml:space="preserve">top-10 indicator cosine</w:t>
      </w:r>
      <w:r>
        <w:t xml:space="preserve"> </w:t>
      </w:r>
      <w:r>
        <w:t xml:space="preserve">similarity across reseed pairs (seeds 42–46), as in</w:t>
      </w:r>
      <w:r>
        <w:t xml:space="preserve"> </w:t>
      </w:r>
      <w:hyperlink w:anchor="eq:f18">
        <w:r>
          <w:rPr>
            <w:rStyle w:val="Hyperlink"/>
          </w:rPr>
          <w:t xml:space="preserve">[eq:f18]</w:t>
        </w:r>
      </w:hyperlink>
      <w:r>
        <w:t xml:space="preserve">.</w:t>
      </w:r>
      <w:r>
        <w:t xml:space="preserve"> </w:t>
      </w:r>
      <w:r>
        <w:t xml:space="preserve">Per-recipe mean fraction-above-0.7 across the six labelled scenes: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V1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0.14</w:t>
            </w:r>
          </w:p>
        </w:tc>
      </w:tr>
    </w:tbl>
    <w:p>
      <w:pPr>
        <w:pStyle w:val="BodyText"/>
      </w:pPr>
      <w:r>
        <w:rPr>
          <w:i/>
          <w:iCs/>
        </w:rPr>
        <w:t xml:space="preserve">Italic</w:t>
      </w:r>
      <w:r>
        <w:t xml:space="preserve"> </w:t>
      </w:r>
      <w:r>
        <w:t xml:space="preserve">marks the recipes that meet the vocabulary criterion used</w:t>
      </w:r>
      <w:r>
        <w:t xml:space="preserve"> </w:t>
      </w:r>
      <w:r>
        <w:t xml:space="preserve">throughout this paper: a vocabulary of at most 12 word types. Any two</w:t>
      </w:r>
      <w:r>
        <w:t xml:space="preserve"> </w:t>
      </w:r>
      <w:r>
        <w:t xml:space="preserve">top-10 sets drawn from at most 12 word types share at least 8 tokens,</w:t>
      </w:r>
      <w:r>
        <w:t xml:space="preserve"> </w:t>
      </w:r>
      <w:r>
        <w:t xml:space="preserve">so every Hungarian-matched pair has cosine at least 0.8 and passes the</w:t>
      </w:r>
      <w:r>
        <w:t xml:space="preserve"> </w:t>
      </w:r>
      <w:r>
        <w:t xml:space="preserve">0.7 threshold by construction, whatever the fits. V2 (8 word types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8</m:t>
        </m:r>
      </m:oMath>
      <w:r>
        <w:t xml:space="preserve">) and V8, whose vocabulary is its set of NFINDR endmembers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word types on four scenes, 9 on Pavia U and 6 on</w:t>
      </w:r>
      <w:r>
        <w:t xml:space="preserve"> </w:t>
      </w:r>
      <w:r>
        <w:t xml:space="preserve">Salinas-A), meet the criterion on every scene, so their F-18 values</w:t>
      </w:r>
      <w:r>
        <w:t xml:space="preserve"> </w:t>
      </w:r>
      <w:r>
        <w:t xml:space="preserve">measure the vocabulary size rather than reseed reliability. V6</w:t>
      </w:r>
      <w:r>
        <w:t xml:space="preserve"> </w:t>
      </w:r>
      <w:r>
        <w:t xml:space="preserve">(131–230 word types) does not meet it, and its 0.95 is not flagged.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V12 marks</w:t>
      </w:r>
      <w:r>
        <w:t xml:space="preserve"> </w:t>
      </w:r>
      <w:r>
        <w:t xml:space="preserve">the recipe that leads F-2 and F-7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(its F-1 lead is below</w:t>
      </w:r>
      <w:r>
        <w:t xml:space="preserve"> </w:t>
      </w:r>
      <w:r>
        <w:t xml:space="preserve">0.01) but loses F-14 to V9, loses F-22 to V20 (V20 26.3 vs V12 24.5),</w:t>
      </w:r>
      <w:r>
        <w:t xml:space="preserve"> </w:t>
      </w:r>
      <w:r>
        <w:t xml:space="preserve">and loses F-18 to every recipe except V9. V12’s flexibility is</w:t>
      </w:r>
      <w:r>
        <w:t xml:space="preserve"> </w:t>
      </w:r>
      <w:r>
        <w:t xml:space="preserve">seed-sensitive.</w:t>
      </w:r>
    </w:p>
    <w:bookmarkStart w:id="53" w:name="the-reliabilityinformativeness-tradeoff"/>
    <w:p>
      <w:pPr>
        <w:pStyle w:val="Heading4"/>
      </w:pPr>
      <w:r>
        <w:t xml:space="preserve">The reliability–informativeness tradeoff</w:t>
      </w:r>
    </w:p>
    <w:p>
      <w:pPr>
        <w:pStyle w:val="FirstParagraph"/>
      </w:pPr>
      <w:r>
        <w:t xml:space="preserve">V12, V3, V7, V5, V4 all sit in the 0.14–0.20 range: informative</w:t>
      </w:r>
      <w:r>
        <w:t xml:space="preserve"> </w:t>
      </w:r>
      <w:r>
        <w:t xml:space="preserve">but seed-sensitive. V1 (current canonical) at 0.25 is the most</w:t>
      </w:r>
      <w:r>
        <w:t xml:space="preserve"> </w:t>
      </w:r>
      <w:r>
        <w:t xml:space="preserve">reliable of the per-band recipes (V1, V3, V4, V5, V12), whose</w:t>
      </w:r>
      <w:r>
        <w:t xml:space="preserve"> </w:t>
      </w:r>
      <w:r>
        <w:t xml:space="preserve">vocabularies have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rPr>
            <m:sty m:val="p"/>
          </m:rPr>
          <m:t>⋅</m:t>
        </m:r>
        <m:r>
          <m:t>Q</m:t>
        </m:r>
      </m:oMath>
      <w:r>
        <w:t xml:space="preserve"> </w:t>
      </w:r>
      <w:r>
        <w:t xml:space="preserve">word types; V6 (0.95), V10 (0.54)</w:t>
      </w:r>
      <w:r>
        <w:t xml:space="preserve"> </w:t>
      </w:r>
      <w:r>
        <w:t xml:space="preserve">and V11 (0.28) score higher without meeting the vocabulary criterion.</w:t>
      </w:r>
      <w:r>
        <w:t xml:space="preserve"> </w:t>
      </w:r>
      <w:r>
        <w:t xml:space="preserve">This is the strongest argument for V1 retaining</w:t>
      </w:r>
      <w:r>
        <w:t xml:space="preserve"> </w:t>
      </w:r>
      <w:r>
        <w:t xml:space="preserve">its canonical status</w:t>
      </w:r>
      <w:r>
        <w:t xml:space="preserve"> </w:t>
      </w:r>
      <w:r>
        <w:rPr>
          <w:i/>
          <w:iCs/>
        </w:rPr>
        <w:t xml:space="preserve">even though V12 leads F-2 and F-7</w:t>
      </w:r>
      <w:r>
        <w:t xml:space="preserve">: V1 is</w:t>
      </w:r>
      <w:r>
        <w:t xml:space="preserve"> </w:t>
      </w:r>
      <w:r>
        <w:t xml:space="preserve">the most reliable of the per-band wordifications.</w:t>
      </w:r>
    </w:p>
    <w:bookmarkEnd w:id="53"/>
    <w:bookmarkStart w:id="54" w:name="X6ab2e3c7e1bb06ef71c8312278d4892753570c5"/>
    <w:p>
      <w:pPr>
        <w:pStyle w:val="Heading4"/>
      </w:pPr>
      <w:r>
        <w:t xml:space="preserve">V20 falls on the V12 side of the reliability axis</w:t>
      </w:r>
    </w:p>
    <w:p>
      <w:pPr>
        <w:pStyle w:val="FirstParagraph"/>
      </w:pPr>
      <w:r>
        <w:t xml:space="preserve">The extended F-18 sweep with the label-aware recipe gives V20 a</w:t>
      </w:r>
      <w:r>
        <w:t xml:space="preserve"> </w:t>
      </w:r>
      <w:r>
        <w:t xml:space="preserve">fraction above 0.7 of</w:t>
      </w:r>
      <w:r>
        <w:t xml:space="preserve"> </w:t>
      </w:r>
      <m:oMath>
        <m:r>
          <m:t>0.22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(mean matched</w:t>
      </w:r>
      <w:r>
        <w:t xml:space="preserve"> </w:t>
      </w:r>
      <w:r>
        <w:t xml:space="preserve">cosine</w:t>
      </w:r>
      <w:r>
        <w:t xml:space="preserve"> </w:t>
      </w:r>
      <m:oMath>
        <m:r>
          <m:t>0.451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0.450</m:t>
        </m:r>
      </m:oMath>
      <w:r>
        <w:t xml:space="preserve">) across the six labelled scenes, inside the</w:t>
      </w:r>
      <w:r>
        <w:t xml:space="preserve"> </w:t>
      </w:r>
      <w:r>
        <w:t xml:space="preserve">0.14–0.25 band of the per-band recipes V12, V3, V4 and V1, despite</w:t>
      </w:r>
      <w:r>
        <w:t xml:space="preserve"> </w:t>
      </w:r>
      <w:r>
        <w:t xml:space="preserve">V20’s strong F-2 / F-7 / F-22 performance. A possible reason, which</w:t>
      </w:r>
      <w:r>
        <w:t xml:space="preserve"> </w:t>
      </w:r>
      <w:r>
        <w:t xml:space="preserve">these runs do not test, is that the down-weighted low-MI bands leave</w:t>
      </w:r>
      <w:r>
        <w:t xml:space="preserve"> </w:t>
      </w:r>
      <w:r>
        <w:t xml:space="preserve">parts of the topic–word matrix flat, so different LDA seeds refine the</w:t>
      </w:r>
      <w:r>
        <w:t xml:space="preserve"> </w:t>
      </w:r>
      <w:r>
        <w:t xml:space="preserve">high-MI bands differently.</w:t>
      </w:r>
      <w:r>
        <w:t xml:space="preserve"> </w:t>
      </w:r>
      <w:r>
        <w:rPr>
          <w:b/>
          <w:bCs/>
        </w:rPr>
        <w:t xml:space="preserve">V8 (NFINDR endmember-fraction)</w:t>
      </w:r>
      <w:r>
        <w:t xml:space="preserve"> </w:t>
      </w:r>
      <w:r>
        <w:t xml:space="preserve">reaches a mean matched cosine of</w:t>
      </w:r>
      <w:r>
        <w:t xml:space="preserve"> </w:t>
      </w:r>
      <m:oMath>
        <m:r>
          <m:t>0.957</m:t>
        </m:r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8</m:t>
        </m:r>
      </m:oMath>
      <w:r>
        <w:t xml:space="preserve">) and</w:t>
      </w:r>
      <w:r>
        <w:t xml:space="preserve"> </w:t>
      </w:r>
      <m:oMath>
        <m:r>
          <m:t>0.962</m:t>
        </m:r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16</m:t>
        </m:r>
      </m:oMath>
      <w:r>
        <w:t xml:space="preserve">),</w:t>
      </w:r>
      <w:r>
        <w:t xml:space="preserve"> </w:t>
      </w:r>
      <w:r>
        <w:t xml:space="preserve">but it meets the vocabulary criterion: its top-10 sets cover all or</w:t>
      </w:r>
      <w:r>
        <w:t xml:space="preserve"> </w:t>
      </w:r>
      <w:r>
        <w:t xml:space="preserve">nearly all of its 6–12 endmember tokens, so every matched pair has</w:t>
      </w:r>
      <w:r>
        <w:t xml:space="preserve"> </w:t>
      </w:r>
      <w:r>
        <w:t xml:space="preserve">cosine at least 0.8 whatever the fits, and these values do not measure</w:t>
      </w:r>
      <w:r>
        <w:t xml:space="preserve"> </w:t>
      </w:r>
      <w:r>
        <w:t xml:space="preserve">reseed reliability.</w:t>
      </w:r>
      <w:r>
        <w:t xml:space="preserve"> </w:t>
      </w:r>
      <w:r>
        <w:t xml:space="preserve">V8’s cross-backbone portability (top-3 mean F-7 NMI across LDA / HDP /</w:t>
      </w:r>
      <w:r>
        <w:t xml:space="preserve"> </w:t>
      </w:r>
      <w:r>
        <w:t xml:space="preserve">ProdLDA / ETM, §</w:t>
      </w:r>
      <w:hyperlink w:anchor="subsec:backbone-f7">
        <w:r>
          <w:rPr>
            <w:rStyle w:val="Hyperlink"/>
          </w:rPr>
          <w:t xml:space="preserve">11.1</w:t>
        </w:r>
      </w:hyperlink>
      <w:r>
        <w:t xml:space="preserve">) does not rest on F-18.</w:t>
      </w:r>
    </w:p>
    <w:p>
      <w:pPr>
        <w:pStyle w:val="BodyText"/>
      </w:pPr>
      <w:r>
        <w:rPr>
          <w:b/>
          <w:bCs/>
        </w:rPr>
        <w:t xml:space="preserve">F-22 counterfactual.</w:t>
      </w:r>
      <w:r>
        <w:t xml:space="preserve"> </w:t>
      </w:r>
      <w:r>
        <w:t xml:space="preserve">The minimum-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token perturbation</w:t>
      </w:r>
      <w:r>
        <w:t xml:space="preserve"> </w:t>
      </w:r>
      <w:r>
        <w:t xml:space="preserve">that flips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k</m:t>
            </m:r>
          </m:sub>
        </m:sSub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d</m:t>
            </m:r>
          </m:sub>
        </m:sSub>
        <m:r>
          <m:rPr>
            <m:sty m:val="p"/>
          </m:rPr>
          <m:t>)</m:t>
        </m:r>
      </m:oMath>
      <w:r>
        <w:t xml:space="preserve">, as defined in</w:t>
      </w:r>
      <w:r>
        <w:t xml:space="preserve"> </w:t>
      </w:r>
      <w:hyperlink w:anchor="eq:f22">
        <w:r>
          <w:rPr>
            <w:rStyle w:val="Hyperlink"/>
          </w:rPr>
          <w:t xml:space="preserve">[eq:f22]</w:t>
        </w:r>
      </w:hyperlink>
      <w:r>
        <w:t xml:space="preserve">;</w:t>
      </w:r>
      <w:r>
        <w:t xml:space="preserve"> </w:t>
      </w:r>
      <w:r>
        <w:t xml:space="preserve">we solve it by coordinate-descent search capped at</w:t>
      </w:r>
      <w:r>
        <w:t xml:space="preserve"> </w:t>
      </w:r>
      <m:oMath>
        <m:r>
          <m:rPr>
            <m:nor/>
            <m:sty m:val="p"/>
          </m:rPr>
          <m:t>MAX_STEPS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token-flips. Cells where every sampled</w:t>
      </w:r>
      <w:r>
        <w:t xml:space="preserve"> </w:t>
      </w:r>
      <w:r>
        <w:t xml:space="preserve">document fails to flip persist with the sentinel value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rather</w:t>
      </w:r>
      <w:r>
        <w:t xml:space="preserve"> </w:t>
      </w:r>
      <w:r>
        <w:t xml:space="preserve">than being dropped. Higher = more robust topic boundary. Per-recipe</w:t>
      </w:r>
      <w:r>
        <w:t xml:space="preserve"> </w:t>
      </w:r>
      <w:r>
        <w:t xml:space="preserve">mean of the per-scene medians across the 19-recipe sweep: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recipe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V10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6.1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recipe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V20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3.3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26.3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V20 has the highest F-22</w:t>
      </w:r>
      <w:r>
        <w:t xml:space="preserve"> </w:t>
      </w:r>
      <w:r>
        <w:t xml:space="preserve">in the sweep</w:t>
      </w:r>
      <w:r>
        <w:t xml:space="preserve"> </w:t>
      </w:r>
      <w:r>
        <w:t xml:space="preserve">(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26.3</m:t>
        </m:r>
      </m:oMath>
      <w:r>
        <w:t xml:space="preserve">), surpassing V12 (24.5), the most robust of V1–V12,</w:t>
      </w:r>
      <w:r>
        <w:t xml:space="preserve"> </w:t>
      </w:r>
      <w:r>
        <w:t xml:space="preserve">and the joint (band, q-bin) vocabulary V3 (23.5). On three scenes (Salinas-A,</w:t>
      </w:r>
      <w:r>
        <w:t xml:space="preserve"> </w:t>
      </w:r>
      <w:r>
        <w:t xml:space="preserve">Pavia U, Botswana) every sampled document under V20 failed to flip</w:t>
      </w:r>
      <w:r>
        <w:t xml:space="preserve"> </w:t>
      </w:r>
      <w:r>
        <w:t xml:space="preserve">within 50 perturbations; the sentinel value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caps that</w:t>
      </w:r>
      <w:r>
        <w:t xml:space="preserve"> </w:t>
      </w:r>
      <w:r>
        <w:t xml:space="preserve">observation. F-22 counts unit token changes, so it grows with the</w:t>
      </w:r>
      <w:r>
        <w:t xml:space="preserve"> </w:t>
      </w:r>
      <w:r>
        <w:t xml:space="preserve">document length: a V20 document holds 1187 tokens on Indian Pines</w:t>
      </w:r>
      <w:r>
        <w:t xml:space="preserve"> </w:t>
      </w:r>
      <w:r>
        <w:t xml:space="preserve">against 200 for V3 and V12 (each band repeated</w:t>
      </w:r>
      <w:r>
        <w:t xml:space="preserve"> </w:t>
      </w:r>
      <m:oMath>
        <m:sSub>
          <m:e>
            <m:r>
              <m:t>w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times, 5.9 on</w:t>
      </w:r>
      <w:r>
        <w:t xml:space="preserve"> </w:t>
      </w:r>
      <w:r>
        <w:t xml:space="preserve">average), and part of V20’s lead may reflect that scale rather than a</w:t>
      </w:r>
      <w:r>
        <w:t xml:space="preserve"> </w:t>
      </w:r>
      <w:r>
        <w:t xml:space="preserve">more robust topic boundary. V9 (one token per document) flips at the</w:t>
      </w:r>
      <w:r>
        <w:t xml:space="preserve"> </w:t>
      </w:r>
      <w:r>
        <w:t xml:space="preserve">first perturbation.</w:t>
      </w:r>
    </w:p>
    <w:bookmarkEnd w:id="54"/>
    <w:bookmarkStart w:id="71" w:name="f-22-q-trajectory"/>
    <w:p>
      <w:pPr>
        <w:pStyle w:val="Heading4"/>
      </w:pPr>
      <w:r>
        <w:t xml:space="preserve">F-22 Q-trajectory</w:t>
      </w:r>
    </w:p>
    <w:p>
      <w:pPr>
        <w:pStyle w:val="FirstParagraph"/>
      </w:pPr>
      <w:r>
        <w:t xml:space="preserve">Re-running the four top contenders at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8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t>32</m:t>
        </m:r>
        <m:r>
          <m:rPr>
            <m:sty m:val="p"/>
          </m:rPr>
          <m:t>}</m:t>
        </m:r>
      </m:oMath>
      <w:r>
        <w:t xml:space="preserve"> </w:t>
      </w:r>
      <w:r>
        <w:t xml:space="preserve">reveals a non-monotonic peak for V20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(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41.83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+</m:t>
        </m:r>
        <m:r>
          <m:t>59</m:t>
        </m:r>
        <m:r>
          <m:rPr>
            <m:sty m:val="p"/>
          </m:rPr>
          <m:t>%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8</m:t>
        </m:r>
      </m:oMath>
      <w:r>
        <w:t xml:space="preserve">, with five of the six scenes at the</w:t>
      </w:r>
      <w:r>
        <w:t xml:space="preserve"> </w:t>
      </w:r>
      <w:r>
        <w:t xml:space="preserve">sentinel 50), falling back to</w:t>
      </w:r>
      <w:r>
        <w:t xml:space="preserve"> </w:t>
      </w:r>
      <m:oMath>
        <m:r>
          <m:t>26.17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32</m:t>
        </m:r>
      </m:oMath>
      <w:r>
        <w:t xml:space="preserve">. V12 leads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(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30.00</m:t>
        </m:r>
      </m:oMath>
      <w:r>
        <w:t xml:space="preserve">, after</w:t>
      </w:r>
      <w:r>
        <w:t xml:space="preserve"> </w:t>
      </w:r>
      <m:oMath>
        <m:r>
          <m:t>24.50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20.67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16</m:t>
        </m:r>
      </m:oMath>
      <w:r>
        <w:t xml:space="preserve">). V8 is the</w:t>
      </w:r>
      <w:r>
        <w:t xml:space="preserve"> </w:t>
      </w:r>
      <w:r>
        <w:t xml:space="preserve">only top contender whose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rises monotonically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m:oMath>
        <m:r>
          <m:t>3.58</m:t>
        </m:r>
      </m:oMath>
      <w:r>
        <w:t xml:space="preserve">,</w:t>
      </w:r>
      <w:r>
        <w:t xml:space="preserve"> </w:t>
      </w:r>
      <m:oMath>
        <m:r>
          <m:t>9.58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20.25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8</m:t>
        </m:r>
      </m:oMath>
      <w:r>
        <w:t xml:space="preserve">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</m:oMath>
      <w:r>
        <w:t xml:space="preserve">), roughly in proportion to</w:t>
      </w:r>
      <w:r>
        <w:t xml:space="preserve"> </w:t>
      </w:r>
      <m:oMath>
        <m:r>
          <m:t>Q</m:t>
        </m:r>
      </m:oMath>
      <w:r>
        <w:t xml:space="preserve">: its counts are NNLS abundances quantised to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levels, so the</w:t>
      </w:r>
      <w:r>
        <w:t xml:space="preserve"> </w:t>
      </w:r>
      <w:r>
        <w:t xml:space="preserve">rise may reflect the count scale rather than preserved discriminative</w:t>
      </w:r>
      <w:r>
        <w:t xml:space="preserve"> </w:t>
      </w:r>
      <w:r>
        <w:t xml:space="preserve">structure.</w:t>
      </w:r>
    </w:p>
    <w:bookmarkStart w:id="58" w:name="fig:q-sensitivity"/>
    <w:p>
      <w:pPr>
        <w:pStyle w:val="CaptionedFigure"/>
      </w:pPr>
      <w:r>
        <w:drawing>
          <wp:inline>
            <wp:extent cx="5067300" cy="1381427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q-sensitivity-all19.pdf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3814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Full 19-recipe Q-sensitivity under LDA. Both F-2</w:t>
      </w:r>
      <w:r>
        <w:t xml:space="preserve"> </w:t>
      </w:r>
      <m:oMath>
        <m:sSub>
          <m:e>
            <m:r>
              <m:t>c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r>
        <w:t xml:space="preserve">F-7 NMI plotted across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8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t>32</m:t>
        </m:r>
        <m:r>
          <m:rPr>
            <m:sty m:val="p"/>
          </m:rPr>
          <m:t>}</m:t>
        </m:r>
      </m:oMath>
      <w:r>
        <w:t xml:space="preserve"> </w:t>
      </w:r>
      <w:r>
        <w:t xml:space="preserve">for every recipe (V13</w:t>
      </w:r>
      <w:r>
        <w:t xml:space="preserve"> </w:t>
      </w:r>
      <w:r>
        <w:t xml:space="preserve">is excluded because it is insensitive to</w:t>
      </w:r>
      <w:r>
        <w:t xml:space="preserve"> </w:t>
      </w:r>
      <m:oMath>
        <m:r>
          <m:t>Q</m:t>
        </m:r>
      </m:oMath>
      <w:r>
        <w:t xml:space="preserve">).</w:t>
      </w:r>
      <w:r>
        <w:t xml:space="preserve"> </w:t>
      </w:r>
      <w:r>
        <w:rPr>
          <w:b/>
          <w:bCs/>
        </w:rPr>
        <w:t xml:space="preserve">Three recipes climb monotonically</w:t>
      </w:r>
      <w:r>
        <w:rPr>
          <w:b/>
          <w:bCs/>
        </w:rPr>
        <w:t xml:space="preserve"> </w:t>
      </w:r>
      <w:r>
        <w:rPr>
          <w:b/>
          <w:bCs/>
        </w:rPr>
        <w:t xml:space="preserve">on both F-2 and F-7</w:t>
      </w:r>
      <w:r>
        <w:t xml:space="preserve">: V20 (purple,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, label-aware), V2 (cyan,</w:t>
      </w:r>
      <w:r>
        <w:t xml:space="preserve"> </w:t>
      </w:r>
      <w:r>
        <w:t xml:space="preserve">intensity-bin), V8 (green, NFINDR endmember). V6 (dashed cyan) is</w:t>
      </w:r>
      <w:r>
        <w:t xml:space="preserve"> </w:t>
      </w:r>
      <w:r>
        <w:t xml:space="preserve">monotonic on F-7 only. The remaining 14 recipes are grey: on F-7,</w:t>
      </w:r>
      <w:r>
        <w:t xml:space="preserve"> </w:t>
      </w:r>
      <w:r>
        <w:t xml:space="preserve">seven decline monotonically (V1, V7, V9, V11, V17, V18, V19), four</w:t>
      </w:r>
      <w:r>
        <w:t xml:space="preserve"> </w:t>
      </w:r>
      <w:r>
        <w:t xml:space="preserve">peak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(V4, V10, V12, V14) and three dip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(V3, V5,</w:t>
      </w:r>
      <w:r>
        <w:t xml:space="preserve"> </w:t>
      </w:r>
      <w:r>
        <w:t xml:space="preserve">V15). Of the three rising recipes, V20 has the largest F-2 gain</w:t>
      </w:r>
      <w:r>
        <w:t xml:space="preserve"> </w:t>
      </w:r>
      <w:r>
        <w:t xml:space="preserve">(+0.060); its F-7 gain is +0.043 (V2: +0.045). V20 has the highest</w:t>
      </w:r>
      <w:r>
        <w:t xml:space="preserve"> </w:t>
      </w:r>
      <w:r>
        <w:t xml:space="preserve">absolute F-7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(0.563); on F-2 it ties V12 (0.910 vs 0.909).</w:t>
      </w:r>
      <w:r>
        <w:t xml:space="preserve"> </w:t>
      </w:r>
      <w:r>
        <w:t xml:space="preserve">V20 is the only</w:t>
      </w:r>
      <w:r>
        <w:t xml:space="preserve"> </w:t>
      </w:r>
      <w:r>
        <w:rPr>
          <w:i/>
          <w:iCs/>
        </w:rPr>
        <w:t xml:space="preserve">label-aware</w:t>
      </w:r>
      <w:r>
        <w:t xml:space="preserve"> </w:t>
      </w:r>
      <w:r>
        <w:t xml:space="preserve">recipe in the monotonic-improvement</w:t>
      </w:r>
      <w:r>
        <w:t xml:space="preserve"> </w:t>
      </w:r>
      <w:r>
        <w:t xml:space="preserve">family.</w:t>
      </w:r>
    </w:p>
    <w:bookmarkEnd w:id="58"/>
    <w:bookmarkStart w:id="62" w:name="fig:per-scene-q-winners"/>
    <w:p>
      <w:pPr>
        <w:pStyle w:val="CaptionedFigure"/>
      </w:pPr>
      <w:r>
        <w:drawing>
          <wp:inline>
            <wp:extent cx="5067300" cy="2659012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per-scene-q-winners.pdf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659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Per-scene F-7 NMI winner under LDA at each quantisation</w:t>
      </w:r>
      <w:r>
        <w:t xml:space="preserve"> </w:t>
      </w:r>
      <w:r>
        <w:t xml:space="preserve">level. V20 dominance scales with Q: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V20 wins only on</w:t>
      </w:r>
      <w:r>
        <w:t xml:space="preserve"> </w:t>
      </w:r>
      <w:r>
        <w:t xml:space="preserve">Indian Pines (1/6 scenes),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V20 still wins only Indian</w:t>
      </w:r>
      <w:r>
        <w:t xml:space="preserve"> </w:t>
      </w:r>
      <w:r>
        <w:t xml:space="preserve">Pines (1/6), and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V20 wins four of six scenes</w:t>
      </w:r>
      <w:r>
        <w:t xml:space="preserve"> </w:t>
      </w:r>
      <w:r>
        <w:t xml:space="preserve">(Salinas-A, Pavia U, KSC, Botswana). The jump from 1/6 to 4/6</w:t>
      </w:r>
      <w:r>
        <w:t xml:space="preserve"> </w:t>
      </w:r>
      <w:r>
        <w:t xml:space="preserve">between Q=16 and Q=32 is the sharpest single Q-step gain in the</w:t>
      </w:r>
      <w:r>
        <w:t xml:space="preserve"> </w:t>
      </w:r>
      <w:r>
        <w:t xml:space="preserve">sweep. The Q=8 row gives V12 two wins, V3 two, V20 one and V8 one;</w:t>
      </w:r>
      <w:r>
        <w:t xml:space="preserve"> </w:t>
      </w:r>
      <w:r>
        <w:t xml:space="preserve">V12 falls to one win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32</m:t>
        </m:r>
      </m:oMath>
      <w:r>
        <w:t xml:space="preserve">, and V3 keeps two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and has none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32</m:t>
        </m:r>
      </m:oMath>
      <w:r>
        <w:t xml:space="preserve">.</w:t>
      </w:r>
      <w:r>
        <w:t xml:space="preserve"> </w:t>
      </w:r>
      <w:r>
        <w:t xml:space="preserve">The rise is consistent with V20’s per-band MI re-weighting gaining</w:t>
      </w:r>
      <w:r>
        <w:t xml:space="preserve"> </w:t>
      </w:r>
      <w:r>
        <w:t xml:space="preserve">from finer intensity bins.</w:t>
      </w:r>
    </w:p>
    <w:bookmarkEnd w:id="62"/>
    <w:bookmarkStart w:id="66" w:name="fig:radar"/>
    <w:p>
      <w:pPr>
        <w:pStyle w:val="CaptionedFigure"/>
      </w:pPr>
      <w:r>
        <w:drawing>
          <wp:inline>
            <wp:extent cx="5067300" cy="3206820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p3-radar-top-recipes.pdf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2068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Per-recipe radar across the eight evaluation axes, normalised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across the 19-recipe set. F-14 (jaccard) is sign-inverted</w:t>
      </w:r>
      <w:r>
        <w:t xml:space="preserve"> </w:t>
      </w:r>
      <w:r>
        <w:t xml:space="preserve">so</w:t>
      </w:r>
      <w:r>
        <w:t xml:space="preserve"> </w:t>
      </w:r>
      <w:r>
        <w:t xml:space="preserve">“1”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“best on this axis”</w:t>
      </w:r>
      <w:r>
        <w:t xml:space="preserve">. V20 (purple) and V12</w:t>
      </w:r>
      <w:r>
        <w:t xml:space="preserve"> </w:t>
      </w:r>
      <w:r>
        <w:t xml:space="preserve">(orange) cover the most surface area; V18 (cyan) has the highest F-18</w:t>
      </w:r>
      <w:r>
        <w:t xml:space="preserve"> </w:t>
      </w:r>
      <w:r>
        <w:t xml:space="preserve">of the six recipes shown; V1 (grey) is mid-pack on most axes.</w:t>
      </w:r>
    </w:p>
    <w:bookmarkEnd w:id="66"/>
    <w:bookmarkStart w:id="70" w:name="fig:backbone-factorial"/>
    <w:p>
      <w:pPr>
        <w:pStyle w:val="CaptionedFigure"/>
      </w:pPr>
      <w:r>
        <w:drawing>
          <wp:inline>
            <wp:extent cx="5280660" cy="2020993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p4-backbone-factorial.pdf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20209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Backbone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wordification factorial. Each cell shows</w:t>
      </w:r>
      <w:r>
        <w:t xml:space="preserve"> </w:t>
      </w:r>
      <w:r>
        <w:t xml:space="preserve">the mean F-2</w:t>
      </w:r>
      <w:r>
        <w:t xml:space="preserve"> </w:t>
      </w:r>
      <m:oMath>
        <m:sSub>
          <m:e>
            <m:r>
              <m:t>c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across the six labelled scenes for one</w:t>
      </w:r>
      <w:r>
        <w:t xml:space="preserve"> </w:t>
      </w:r>
      <w:r>
        <w:t xml:space="preserve">(backbone, recipe) pair; one row per backbone, recipes in index</w:t>
      </w:r>
      <w:r>
        <w:t xml:space="preserve"> </w:t>
      </w:r>
      <w:r>
        <w:t xml:space="preserve">order. Green border +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= per-backbone winner; V20 (the</w:t>
      </w:r>
      <w:r>
        <w:t xml:space="preserve"> </w:t>
      </w:r>
      <w:r>
        <w:t xml:space="preserve">label-aware recipe) is labelled in bold purple (yellow on dark cells),</w:t>
      </w:r>
      <w:r>
        <w:t xml:space="preserve"> </w:t>
      </w:r>
      <w:r>
        <w:t xml:space="preserve">and the footer gives its rank within each row (LDA 2, HDP 11, ProdLDA</w:t>
      </w:r>
      <w:r>
        <w:t xml:space="preserve"> </w:t>
      </w:r>
      <w:r>
        <w:t xml:space="preserve">4, ETM 3; under HDP, V20 is tenth without the V15 cell noted at the</w:t>
      </w:r>
      <w:r>
        <w:t xml:space="preserve"> </w:t>
      </w:r>
      <w:r>
        <w:t xml:space="preserve">end of this caption). No recipe dominates every backbone: LDA and ETM pick V12,</w:t>
      </w:r>
      <w:r>
        <w:t xml:space="preserve"> </w:t>
      </w:r>
      <w:r>
        <w:t xml:space="preserve">with V3 and V20 close behind; HDP picks V7 (sparse absorption tokens);</w:t>
      </w:r>
      <w:r>
        <w:t xml:space="preserve"> </w:t>
      </w:r>
      <w:r>
        <w:t xml:space="preserve">ProdLDA picks V3. The HDP cell for V15 (0.52) was computed on the</w:t>
      </w:r>
      <w:r>
        <w:t xml:space="preserve"> </w:t>
      </w:r>
      <w:r>
        <w:t xml:space="preserve">stored V15 wordification that holds the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vocabulary (192 tokens;</w:t>
      </w:r>
      <w:r>
        <w:t xml:space="preserve"> </w:t>
      </w:r>
      <w:r>
        <w:t xml:space="preserve">96 on Pavia U); every other V15 value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in this paper uses the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vocabulary (48 tokens; 24 on Pavia U).</w:t>
      </w:r>
    </w:p>
    <w:bookmarkEnd w:id="70"/>
    <w:p>
      <w:pPr>
        <w:pStyle w:val="BodyText"/>
      </w:pPr>
      <w:r>
        <w:rPr>
          <w:b/>
          <w:bCs/>
        </w:rPr>
        <w:t xml:space="preserve">Backbone factorial: HDP.</w:t>
      </w:r>
      <w:r>
        <w:t xml:space="preserve"> </w:t>
      </w:r>
      <w:r>
        <w:t xml:space="preserve">The first alternative backbone of</w:t>
      </w:r>
      <w:r>
        <w:t xml:space="preserve"> </w:t>
      </w:r>
      <w:r>
        <w:t xml:space="preserve">the factorial covers the same 114 cells (nineteen recipes on the six</w:t>
      </w:r>
      <w:r>
        <w:t xml:space="preserve"> </w:t>
      </w:r>
      <w:r>
        <w:t xml:space="preserve">labelled scenes, Fig. </w:t>
      </w:r>
      <w:hyperlink w:anchor="fig:backbone-factorial">
        <w:r>
          <w:rPr>
            <w:rStyle w:val="Hyperlink"/>
          </w:rPr>
          <w:t xml:space="preserve">7</w:t>
        </w:r>
      </w:hyperlink>
      <w:r>
        <w:t xml:space="preserve">), with gensim’s</w:t>
      </w:r>
      <w:r>
        <w:t xml:space="preserve"> </w:t>
      </w:r>
      <w:r>
        <w:t xml:space="preserve">Hierarchical Dirichlet Process in place of fixed-K LDA. For five</w:t>
      </w:r>
      <w:r>
        <w:t xml:space="preserve"> </w:t>
      </w:r>
      <w:r>
        <w:t xml:space="preserve">representative recipes, the per-recipe ranking on F-2</w:t>
      </w:r>
      <w:r>
        <w:t xml:space="preserve"> </w:t>
      </w:r>
      <m:oMath>
        <m:sSub>
          <m:e>
            <m:r>
              <m:t>c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(six-scene means, as in Fig. </w:t>
      </w:r>
      <w:hyperlink w:anchor="fig:backbone-factorial">
        <w:r>
          <w:rPr>
            <w:rStyle w:val="Hyperlink"/>
          </w:rPr>
          <w:t xml:space="preserve">7</w:t>
        </w:r>
      </w:hyperlink>
      <w:r>
        <w:t xml:space="preserve">)</w:t>
      </w:r>
      <w:r>
        <w:t xml:space="preserve"> </w:t>
      </w:r>
      <w:r>
        <w:rPr>
          <w:i/>
          <w:iCs/>
        </w:rPr>
        <w:t xml:space="preserve">inverts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LDA backbone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v</m:t>
                  </m:r>
                </m:sub>
              </m:sSub>
            </m:oMath>
            <w:r>
              <w:t xml:space="preserve"> </w:t>
            </w:r>
            <w: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HDP backbone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v</m:t>
                  </m:r>
                </m:sub>
              </m:sSub>
            </m:oMath>
            <w:r>
              <w:t xml:space="preserve"> </w:t>
            </w:r>
            <w:r>
              <w:t xml:space="preserve">mean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0.876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0.615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0.311</w:t>
            </w:r>
          </w:p>
        </w:tc>
      </w:tr>
    </w:tbl>
    <w:p>
      <w:pPr>
        <w:pStyle w:val="BodyText"/>
      </w:pPr>
      <w:r>
        <w:t xml:space="preserve">Under LDA the dense GMM-token vocabulary of V12 has the most coherent</w:t>
      </w:r>
      <w:r>
        <w:t xml:space="preserve"> </w:t>
      </w:r>
      <w:r>
        <w:t xml:space="preserve">topics; under HDP, V7 (at most six absorption-feature tokens per pixel)</w:t>
      </w:r>
      <w:r>
        <w:t xml:space="preserve"> </w:t>
      </w:r>
      <w:r>
        <w:t xml:space="preserve">leads. The HDP result is consistent with the truncated</w:t>
      </w:r>
      <w:r>
        <w:t xml:space="preserve"> </w:t>
      </w:r>
      <w:r>
        <w:t xml:space="preserve">Dirichlet-process prior favouring recipes whose few tokens each carry</w:t>
      </w:r>
      <w:r>
        <w:t xml:space="preserve"> </w:t>
      </w:r>
      <w:r>
        <w:t xml:space="preserve">semantic weight, a hypothesis these runs do not test.</w:t>
      </w:r>
      <w:r>
        <w:t xml:space="preserve"> </w:t>
      </w:r>
      <w:r>
        <w:rPr>
          <w:b/>
          <w:bCs/>
        </w:rPr>
        <w:t xml:space="preserve">This inversion is the cleanest evidence that the</w:t>
      </w:r>
      <w:r>
        <w:rPr>
          <w:b/>
          <w:bCs/>
        </w:rPr>
        <w:t xml:space="preserve"> </w:t>
      </w:r>
      <w:r>
        <w:rPr>
          <w:b/>
          <w:bCs/>
        </w:rPr>
        <w:t xml:space="preserve">wordification ranking depends on the backbone, which motivates the</w:t>
      </w:r>
      <w:r>
        <w:rPr>
          <w:b/>
          <w:bCs/>
        </w:rPr>
        <w:t xml:space="preserve"> </w:t>
      </w:r>
      <w:r>
        <w:rPr>
          <w:b/>
          <w:bCs/>
        </w:rPr>
        <w:t xml:space="preserve">factorial study.</w:t>
      </w:r>
    </w:p>
    <w:bookmarkEnd w:id="71"/>
    <w:bookmarkStart w:id="83" w:name="subsec:backbone-f7"/>
    <w:p>
      <w:pPr>
        <w:pStyle w:val="Heading2"/>
      </w:pPr>
      <w:r>
        <w:t xml:space="preserve">F-7 NMI across the four backbones</w:t>
      </w:r>
    </w:p>
    <w:p>
      <w:pPr>
        <w:pStyle w:val="FirstParagraph"/>
      </w:pPr>
      <w:r>
        <w:t xml:space="preserve">The backbone factorial above reports F-2</w:t>
      </w:r>
      <w:r>
        <w:t xml:space="preserve"> </w:t>
      </w:r>
      <m:oMath>
        <m:sSub>
          <m:e>
            <m:r>
              <m:t>c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only;</w:t>
      </w:r>
      <w:r>
        <w:t xml:space="preserve"> </w:t>
      </w:r>
      <w:r>
        <w:t xml:space="preserve">Table </w:t>
      </w:r>
      <w:hyperlink w:anchor="tab:f7-4backbone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adds F-7 NMI under each non-LDA backbone.</w:t>
      </w:r>
    </w:p>
    <w:bookmarkStart w:id="72" w:name="tab:f7-4backbone"/>
    <w:p>
      <w:pPr>
        <w:pStyle w:val="TableCaption"/>
      </w:pPr>
      <w:r>
        <w:t xml:space="preserve">F-7 NMI mean across the six labelled scenes, top-12 recipes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four topic-model backbones (full sweep, 456/456 cells).</w:t>
      </w:r>
      <w:r>
        <w:t xml:space="preserve"> </w:t>
      </w:r>
      <w:r>
        <w:t xml:space="preserve">Bold = per-backbone winner. Recipes sorted by 4-backbone mean. LDA uses</w:t>
      </w:r>
      <w:r>
        <w:t xml:space="preserve"> </w:t>
      </w:r>
      <w:r>
        <w:t xml:space="preserve">the per-recipe K of §</w:t>
      </w:r>
      <w:hyperlink w:anchor="subsec:k-policy">
        <w:r>
          <w:rPr>
            <w:rStyle w:val="Hyperlink"/>
          </w:rPr>
          <w:t xml:space="preserve">4.1</w:t>
        </w:r>
      </w:hyperlink>
      <w:r>
        <w:t xml:space="preserve">; the F-7 runs of ProdLDA and</w:t>
      </w:r>
      <w:r>
        <w:t xml:space="preserve"> </w:t>
      </w:r>
      <w:r>
        <w:t xml:space="preserve">ETM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P1</m:t>
            </m:r>
          </m:sub>
        </m:sSub>
      </m:oMath>
      <w:r>
        <w:t xml:space="preserve"> </w:t>
      </w:r>
      <w:r>
        <w:t xml:space="preserve">for every recipe, and HDP truncates at 20</w:t>
      </w:r>
      <w:r>
        <w:t xml:space="preserve"> </w:t>
      </w:r>
      <w:r>
        <w:t xml:space="preserve">topics.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-7 NMI mean across the six labelled scenes, top-12 recipes \times four topic-model backbones (full sweep, 456/456 cells). Bold = per-backbone winner. Recipes sorted by 4-backbone mean. LDA uses the per-recipe K of §4.1; the F-7 runs of ProdLDA and ETM use K = K_{\text{P1}} for every recipe, and HDP truncates at 20 topics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Recipe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LDA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HDP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ProdLDA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ETM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V8</w:t>
            </w:r>
            <w:r>
              <w:t xml:space="preserve"> </w:t>
            </w:r>
            <w:r>
              <w:t xml:space="preserve">(NFINDR)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0.463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0.328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0.431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V20 (MI-weighted)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 (intensity-bin)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V11 (product quantisation)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0.571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0.530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V12 (GMM-token)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0.534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 (joint band-bin)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V19 (UMAP coord)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0.394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V15 (spectral indices)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V13 (VQ-VAE)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V14 (CWT-Morlet)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V18 (graph-Laplacian)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 (band-frequency)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0.252</w:t>
            </w:r>
          </w:p>
        </w:tc>
      </w:tr>
    </w:tbl>
    <w:bookmarkEnd w:id="72"/>
    <w:bookmarkStart w:id="73" w:name="degenerate-cross-backbone-fits"/>
    <w:p>
      <w:pPr>
        <w:pStyle w:val="Heading4"/>
      </w:pPr>
      <w:r>
        <w:t xml:space="preserve">Degenerate cross-backbone fits</w:t>
      </w:r>
    </w:p>
    <w:p>
      <w:pPr>
        <w:pStyle w:val="FirstParagraph"/>
      </w:pPr>
      <w:r>
        <w:t xml:space="preserve">The 4-backbone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19-recipe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6-scene Q=8 factorial</w:t>
      </w:r>
      <w:r>
        <w:t xml:space="preserve"> </w:t>
      </w:r>
      <w:r>
        <w:t xml:space="preserve">contains a non-trivial number of degenerate cells (F-7 below 0.01, an</w:t>
      </w:r>
      <w:r>
        <w:t xml:space="preserve"> </w:t>
      </w:r>
      <w:r>
        <w:t xml:space="preserve">argmax topic that carries no label information): LDA 1/114, ETM 1/114,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HDP 25/114 (22%)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ProdLDA 41/114 (36%)</w:t>
      </w:r>
      <w:r>
        <w:t xml:space="preserve">. For</w:t>
      </w:r>
      <w:r>
        <w:t xml:space="preserve"> </w:t>
      </w:r>
      <w:r>
        <w:t xml:space="preserve">HDP, 22 of the 25 are on V1, V4, V5 and V6, the recipes for which HDP</w:t>
      </w:r>
      <w:r>
        <w:t xml:space="preserve"> </w:t>
      </w:r>
      <w:r>
        <w:t xml:space="preserve">keeps between 1.2 and 2.2 effective topics (six-scene means of the F-2</w:t>
      </w:r>
      <w:r>
        <w:t xml:space="preserve"> </w:t>
      </w:r>
      <w:r>
        <w:t xml:space="preserve">runs); across the nineteen recipes HDP’s F-7 follows the number of</w:t>
      </w:r>
      <w:r>
        <w:t xml:space="preserve"> </w:t>
      </w:r>
      <w:r>
        <w:t xml:space="preserve">topics it keeps (Spearman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0.59</m:t>
        </m:r>
      </m:oMath>
      <w:r>
        <w:t xml:space="preserve">). The cross-backbone mean</w:t>
      </w:r>
      <w:r>
        <w:t xml:space="preserve"> </w:t>
      </w:r>
      <w:r>
        <w:t xml:space="preserve">reported in the table above averages these zeros together with the</w:t>
      </w:r>
      <w:r>
        <w:t xml:space="preserve"> </w:t>
      </w:r>
      <w:r>
        <w:t xml:space="preserve">other fits.</w:t>
      </w:r>
    </w:p>
    <w:p>
      <w:pPr>
        <w:pStyle w:val="BodyText"/>
      </w:pPr>
      <w:r>
        <w:t xml:space="preserve">Excluding zero cells from the per-backbone means yields V8 0.431</w:t>
      </w:r>
      <w:r>
        <w:t xml:space="preserve"> </w:t>
      </w:r>
      <w:r>
        <w:t xml:space="preserve">(unchanged, since V8 has no degenerate cells), V20 0.408 (</w:t>
      </w:r>
      <m:oMath>
        <m:r>
          <m:rPr>
            <m:sty m:val="p"/>
          </m:rPr>
          <m:t>+</m:t>
        </m:r>
        <m:r>
          <m:t>0.011</m:t>
        </m:r>
      </m:oMath>
      <w:r>
        <w:t xml:space="preserve">, one</w:t>
      </w:r>
      <w:r>
        <w:t xml:space="preserve"> </w:t>
      </w:r>
      <w:r>
        <w:t xml:space="preserve">ProdLDA zero on Indian Pines), V11 0.381 (</w:t>
      </w:r>
      <m:oMath>
        <m:r>
          <m:rPr>
            <m:sty m:val="p"/>
          </m:rPr>
          <m:t>+</m:t>
        </m:r>
        <m:r>
          <m:t>0.011</m:t>
        </m:r>
      </m:oMath>
      <w:r>
        <w:t xml:space="preserve">), V12 0.393</w:t>
      </w:r>
      <w:r>
        <w:t xml:space="preserve"> </w:t>
      </w:r>
      <w:r>
        <w:t xml:space="preserve">(</w:t>
      </w:r>
      <m:oMath>
        <m:r>
          <m:rPr>
            <m:sty m:val="p"/>
          </m:rPr>
          <m:t>+</m:t>
        </m:r>
        <m:r>
          <m:t>0.023</m:t>
        </m:r>
      </m:oMath>
      <w:r>
        <w:t xml:space="preserve">). V8 retains cross-backbone leadership under either</w:t>
      </w:r>
      <w:r>
        <w:t xml:space="preserve"> </w:t>
      </w:r>
      <w:r>
        <w:t xml:space="preserve">treatment of zeros. The F-7 value of every (backbone, recipe, scene)</w:t>
      </w:r>
      <w:r>
        <w:t xml:space="preserve"> </w:t>
      </w:r>
      <w:r>
        <w:t xml:space="preserve">cell is archived in the code repository.</w:t>
      </w:r>
    </w:p>
    <w:p>
      <w:pPr>
        <w:pStyle w:val="BodyText"/>
      </w:pPr>
      <w:r>
        <w:rPr>
          <w:b/>
          <w:bCs/>
        </w:rPr>
        <w:t xml:space="preserve">V8 (NFINDR endmember-fraction)</w:t>
      </w:r>
      <w:r>
        <w:t xml:space="preserve"> </w:t>
      </w:r>
      <w:r>
        <w:t xml:space="preserve">is the most</w:t>
      </w:r>
      <w:r>
        <w:t xml:space="preserve"> </w:t>
      </w:r>
      <w:r>
        <w:t xml:space="preserve">cross-backbone-consistent recipe at mean F-7 NMI</w:t>
      </w:r>
      <w:r>
        <w:t xml:space="preserve"> </w:t>
      </w:r>
      <m:oMath>
        <m:r>
          <m:rPr>
            <m:sty m:val="p"/>
          </m:rPr>
          <m:t>=</m:t>
        </m:r>
        <m:r>
          <m:t>0.431</m:t>
        </m:r>
      </m:oMath>
      <w:r>
        <w:t xml:space="preserve">; it lands top-5 under</w:t>
      </w:r>
      <w:r>
        <w:t xml:space="preserve"> </w:t>
      </w:r>
      <w:r>
        <w:t xml:space="preserve">every backbone, winning outright only under ProdLDA, and shares with V2</w:t>
      </w:r>
      <w:r>
        <w:t xml:space="preserve"> </w:t>
      </w:r>
      <w:r>
        <w:t xml:space="preserve">the smallest standard deviation across the four backbones</w:t>
      </w:r>
      <w:r>
        <w:t xml:space="preserve"> </w:t>
      </w:r>
      <w:r>
        <w:t xml:space="preserve">(</w:t>
      </w:r>
      <m:oMath>
        <m:r>
          <m:t>σ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for both). V20</w:t>
      </w:r>
      <w:r>
        <w:t xml:space="preserve"> </w:t>
      </w:r>
      <w:r>
        <w:t xml:space="preserve">is the second-most consistent at</w:t>
      </w:r>
      <w:r>
        <w:t xml:space="preserve"> </w:t>
      </w:r>
      <m:oMath>
        <m:r>
          <m:t>0.397</m:t>
        </m:r>
      </m:oMath>
      <w:r>
        <w:t xml:space="preserve">, retaining LDA strength</w:t>
      </w:r>
      <w:r>
        <w:t xml:space="preserve"> </w:t>
      </w:r>
      <w:r>
        <w:t xml:space="preserve">(</w:t>
      </w:r>
      <m:oMath>
        <m:r>
          <m:t>0.520</m:t>
        </m:r>
      </m:oMath>
      <w:r>
        <w:t xml:space="preserve">) and tying V12 on ETM (</w:t>
      </w:r>
      <m:oMath>
        <m:r>
          <m:t>0.490</m:t>
        </m:r>
      </m:oMath>
      <w:r>
        <w:t xml:space="preserve"> </w:t>
      </w:r>
      <w:r>
        <w:t xml:space="preserve">vs</w:t>
      </w:r>
      <w:r>
        <w:t xml:space="preserve"> </w:t>
      </w:r>
      <m:oMath>
        <m:r>
          <m:t>0.488</m:t>
        </m:r>
      </m:oMath>
      <w:r>
        <w:t xml:space="preserve">; V11 leads ETM at</w:t>
      </w:r>
      <w:r>
        <w:t xml:space="preserve"> </w:t>
      </w:r>
      <m:oMath>
        <m:r>
          <m:t>0.530</m:t>
        </m:r>
      </m:oMath>
      <w:r>
        <w:t xml:space="preserve">). V11 (product</w:t>
      </w:r>
      <w:r>
        <w:t xml:space="preserve"> </w:t>
      </w:r>
      <w:r>
        <w:t xml:space="preserve">quantisation, vocab</w:t>
      </w:r>
      <w:r>
        <w:t xml:space="preserve"> </w:t>
      </w:r>
      <m:oMath>
        <m:r>
          <m:t>M</m:t>
        </m:r>
        <m:sSub>
          <m:e>
            <m:r>
              <m:t>K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32</m:t>
        </m:r>
      </m:oMath>
      <w:r>
        <w:t xml:space="preserve">) wins HDP and ETM outright but</w:t>
      </w:r>
      <w:r>
        <w:t xml:space="preserve"> </w:t>
      </w:r>
      <w:r>
        <w:t xml:space="preserve">collapses under ProdLDA (0.088) and ranks low under LDA (0.292). F-7 is</w:t>
      </w:r>
      <w:r>
        <w:t xml:space="preserve"> </w:t>
      </w:r>
      <w:r>
        <w:t xml:space="preserve">bounded by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under LDA V11’s four-token documents</w:t>
      </w:r>
      <w:r>
        <w:t xml:space="preserve"> </w:t>
      </w:r>
      <w:r>
        <w:t xml:space="preserve">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, which caps its six-scene mean at 0.46; its HDP and ETM</w:t>
      </w:r>
      <w:r>
        <w:t xml:space="preserve"> </w:t>
      </w:r>
      <w:r>
        <w:t xml:space="preserve">means (0.571 and 0.530) exceed that cap, so this apparent</w:t>
      </w:r>
      <w:r>
        <w:t xml:space="preserve"> </w:t>
      </w:r>
      <w:r>
        <w:t xml:space="preserve">backbone-specialist profile reflects the topic count at least as much</w:t>
      </w:r>
      <w:r>
        <w:t xml:space="preserve"> </w:t>
      </w:r>
      <w:r>
        <w:t xml:space="preserve">as the backbone. The same holds for V19 under HDP (0.530).</w:t>
      </w:r>
      <w:r>
        <w:t xml:space="preserve"> </w:t>
      </w:r>
      <w:r>
        <w:t xml:space="preserve">V20’s interpretability advantage relative to V8 and V11 is that it</w:t>
      </w:r>
      <w:r>
        <w:t xml:space="preserve"> </w:t>
      </w:r>
      <w:r>
        <w:t xml:space="preserve">is the only</w:t>
      </w:r>
      <w:r>
        <w:t xml:space="preserve"> </w:t>
      </w:r>
      <w:r>
        <w:rPr>
          <w:i/>
          <w:iCs/>
        </w:rPr>
        <w:t xml:space="preserve">label-aware</w:t>
      </w:r>
      <w:r>
        <w:t xml:space="preserve"> </w:t>
      </w:r>
      <w:r>
        <w:t xml:space="preserve">recipe in the consistently-strong</w:t>
      </w:r>
      <w:r>
        <w:t xml:space="preserve"> </w:t>
      </w:r>
      <w:r>
        <w:t xml:space="preserve">family; V8 and V11 are label-unaware compressions of the spectrum.</w:t>
      </w:r>
      <w:r>
        <w:t xml:space="preserve"> </w:t>
      </w:r>
      <w:r>
        <w:t xml:space="preserve">The cross-backbone story is therefore not</w:t>
      </w:r>
      <w:r>
        <w:t xml:space="preserve"> </w:t>
      </w:r>
      <w:r>
        <w:t xml:space="preserve">“one recipe wins</w:t>
      </w:r>
      <w:r>
        <w:t xml:space="preserve"> </w:t>
      </w:r>
      <w:r>
        <w:t xml:space="preserve">everywhere”</w:t>
      </w:r>
      <w:r>
        <w:t xml:space="preserve"> </w:t>
      </w:r>
      <w:r>
        <w:t xml:space="preserve">but</w:t>
      </w:r>
      <w:r>
        <w:t xml:space="preserve"> </w:t>
      </w:r>
      <w:r>
        <w:t xml:space="preserve">“three recipes lead under different backbones, all</w:t>
      </w:r>
      <w:r>
        <w:t xml:space="preserve"> </w:t>
      </w:r>
      <w:r>
        <w:t xml:space="preserve">above the canonical V1 baseline”</w:t>
      </w:r>
      <w:r>
        <w:t xml:space="preserve">.</w:t>
      </w:r>
    </w:p>
    <w:bookmarkEnd w:id="73"/>
    <w:bookmarkStart w:id="74" w:name="hdp-backbone-at-q16"/>
    <w:p>
      <w:pPr>
        <w:pStyle w:val="Heading4"/>
      </w:pPr>
      <w:r>
        <w:t xml:space="preserve">HDP backbone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16</m:t>
        </m:r>
      </m:oMath>
    </w:p>
    <w:p>
      <w:pPr>
        <w:pStyle w:val="FirstParagraph"/>
      </w:pPr>
      <w:r>
        <w:t xml:space="preserve">Re-running HDP F-7 NMI for the</w:t>
      </w:r>
      <w:r>
        <w:t xml:space="preserve"> </w:t>
      </w:r>
      <w:r>
        <w:t xml:space="preserve">top-3 contenders at the finer quantisation level reveals that V8’s</w:t>
      </w:r>
      <w:r>
        <w:t xml:space="preserve"> </w:t>
      </w:r>
      <w:r>
        <w:t xml:space="preserve">cross-backbone dominance is preserved under quantisation refinement:</w:t>
      </w:r>
      <w:r>
        <w:t xml:space="preserve"> </w:t>
      </w:r>
      <w:r>
        <w:t xml:space="preserve">HDP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gives V8</w:t>
      </w:r>
      <w:r>
        <w:t xml:space="preserve"> </w:t>
      </w:r>
      <m:oMath>
        <m:r>
          <m:t>0.454</m:t>
        </m:r>
      </m:oMath>
      <w:r>
        <w:t xml:space="preserve">, V20</w:t>
      </w:r>
      <w:r>
        <w:t xml:space="preserve"> </w:t>
      </w:r>
      <m:oMath>
        <m:r>
          <m:t>0.403</m:t>
        </m:r>
      </m:oMath>
      <w:r>
        <w:t xml:space="preserve">, V2</w:t>
      </w:r>
      <w:r>
        <w:t xml:space="preserve"> </w:t>
      </w:r>
      <m:oMath>
        <m:r>
          <m:t>0.249</m:t>
        </m:r>
      </m:oMath>
      <w:r>
        <w:t xml:space="preserve">, mirroring the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HDP ranking (</w:t>
      </w:r>
      <m:oMath>
        <m:r>
          <m:t>V</m:t>
        </m:r>
        <m:r>
          <m:t>8</m:t>
        </m:r>
        <m:r>
          <m:rPr>
            <m:sty m:val="p"/>
          </m:rPr>
          <m:t>=</m:t>
        </m:r>
        <m:r>
          <m:t>0.451</m:t>
        </m:r>
      </m:oMath>
      <w:r>
        <w:t xml:space="preserve">,</w:t>
      </w:r>
      <w:r>
        <w:t xml:space="preserve"> </w:t>
      </w:r>
      <m:oMath>
        <m:r>
          <m:t>V</m:t>
        </m:r>
        <m:r>
          <m:t>20</m:t>
        </m:r>
        <m:r>
          <m:rPr>
            <m:sty m:val="p"/>
          </m:rPr>
          <m:t>=</m:t>
        </m:r>
        <m:r>
          <m:t>0.356</m:t>
        </m:r>
      </m:oMath>
      <w:r>
        <w:t xml:space="preserve">, V2</w:t>
      </w:r>
      <w:r>
        <w:t xml:space="preserve"> </w:t>
      </w:r>
      <m:oMath>
        <m:r>
          <m:t>0.347</m:t>
        </m:r>
      </m:oMath>
      <w:r>
        <w:t xml:space="preserve">). V8’s</w:t>
      </w:r>
      <w:r>
        <w:t xml:space="preserve"> </w:t>
      </w:r>
      <w:r>
        <w:t xml:space="preserve">endmember-fraction vocabulary is robust both across topic-model</w:t>
      </w:r>
      <w:r>
        <w:t xml:space="preserve"> </w:t>
      </w:r>
      <w:r>
        <w:t xml:space="preserve">backbones and across quantisation levels. V20’s gain from finer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not LDA-specific: from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it rises under HDP (</w:t>
      </w:r>
      <m:oMath>
        <m:r>
          <m:t>0.356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0.403</m:t>
        </m:r>
      </m:oMath>
      <w:r>
        <w:t xml:space="preserve">), ETM (</w:t>
      </w:r>
      <m:oMath>
        <m:r>
          <m:t>0.490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0.525</m:t>
        </m:r>
      </m:oMath>
      <w:r>
        <w:t xml:space="preserve">) and LDA (</w:t>
      </w:r>
      <m:oMath>
        <m:r>
          <m:t>0.520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0.534</m:t>
        </m:r>
      </m:oMath>
      <w:r>
        <w:t xml:space="preserve">) and</w:t>
      </w:r>
      <w:r>
        <w:t xml:space="preserve"> </w:t>
      </w:r>
      <w:r>
        <w:t xml:space="preserve">stays level under ProdLDA (</w:t>
      </w:r>
      <m:oMath>
        <m:r>
          <m:t>0.221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0.223</m:t>
        </m:r>
      </m:oMath>
      <w:r>
        <w:t xml:space="preserve">).</w:t>
      </w:r>
    </w:p>
    <w:bookmarkEnd w:id="74"/>
    <w:bookmarkStart w:id="75" w:name="etm-backbone-at-q16"/>
    <w:p>
      <w:pPr>
        <w:pStyle w:val="Heading4"/>
      </w:pPr>
      <w:r>
        <w:t xml:space="preserve">ETM backbone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16</m:t>
        </m:r>
      </m:oMath>
    </w:p>
    <w:p>
      <w:pPr>
        <w:pStyle w:val="FirstParagraph"/>
      </w:pPr>
      <w:r>
        <w:t xml:space="preserve">Under the embedded topic model</w:t>
      </w:r>
      <w:r>
        <w:t xml:space="preserve"> </w:t>
      </w:r>
      <w:r>
        <w:t xml:space="preserve">backbone, the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ranking inverts: V20</w:t>
      </w:r>
      <w:r>
        <w:t xml:space="preserve"> </w:t>
      </w:r>
      <m:oMath>
        <m:r>
          <m:t>0.525</m:t>
        </m:r>
      </m:oMath>
      <w:r>
        <w:t xml:space="preserve">, V2</w:t>
      </w:r>
      <w:r>
        <w:t xml:space="preserve"> </w:t>
      </w:r>
      <m:oMath>
        <m:r>
          <m:t>0.492</m:t>
        </m:r>
      </m:oMath>
      <w:r>
        <w:t xml:space="preserve">, V8</w:t>
      </w:r>
      <w:r>
        <w:t xml:space="preserve"> </w:t>
      </w:r>
      <m:oMath>
        <m:r>
          <m:t>0.473</m:t>
        </m:r>
      </m:oMath>
      <w:r>
        <w:t xml:space="preserve">. The MI-weighted recipe now leads.</w:t>
      </w:r>
    </w:p>
    <w:bookmarkEnd w:id="75"/>
    <w:bookmarkStart w:id="76" w:name="prodlda-backbone-at-q16"/>
    <w:p>
      <w:pPr>
        <w:pStyle w:val="Heading4"/>
      </w:pPr>
      <w:r>
        <w:t xml:space="preserve">ProdLDA backbone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16</m:t>
        </m:r>
      </m:oMath>
    </w:p>
    <w:p>
      <w:pPr>
        <w:pStyle w:val="FirstParagraph"/>
      </w:pPr>
      <w:r>
        <w:t xml:space="preserve">The amortized variational</w:t>
      </w:r>
      <w:r>
        <w:t xml:space="preserve"> </w:t>
      </w:r>
      <w:r>
        <w:t xml:space="preserve">backbone reverses again: V8</w:t>
      </w:r>
      <w:r>
        <w:t xml:space="preserve"> </w:t>
      </w:r>
      <m:oMath>
        <m:r>
          <m:t>0.359</m:t>
        </m:r>
      </m:oMath>
      <w:r>
        <w:t xml:space="preserve">, V2</w:t>
      </w:r>
      <w:r>
        <w:t xml:space="preserve"> </w:t>
      </w:r>
      <m:oMath>
        <m:r>
          <m:t>0.335</m:t>
        </m:r>
      </m:oMath>
      <w:r>
        <w:t xml:space="preserve">, V20</w:t>
      </w:r>
      <w:r>
        <w:t xml:space="preserve"> </w:t>
      </w:r>
      <m:oMath>
        <m:r>
          <m:t>0.223</m:t>
        </m:r>
      </m:oMath>
      <w:r>
        <w:t xml:space="preserve">. The</w:t>
      </w:r>
      <w:r>
        <w:t xml:space="preserve"> </w:t>
      </w:r>
      <w:r>
        <w:t xml:space="preserve">ProdLDA-labelled model shares ETM’s prior and encoder</w:t>
      </w:r>
      <w:r>
        <w:t xml:space="preserve"> </w:t>
      </w:r>
      <w:r>
        <w:t xml:space="preserve">(§</w:t>
      </w:r>
      <w:hyperlink w:anchor="sec:related">
        <w:r>
          <w:rPr>
            <w:rStyle w:val="Hyperlink"/>
          </w:rPr>
          <w:t xml:space="preserve">2</w:t>
        </w:r>
      </w:hyperlink>
      <w:r>
        <w:t xml:space="preserve">), so V20’s fall from</w:t>
      </w:r>
      <w:r>
        <w:t xml:space="preserve"> </w:t>
      </w:r>
      <m:oMath>
        <m:r>
          <m:t>0.525</m:t>
        </m:r>
      </m:oMath>
      <w:r>
        <w:t xml:space="preserve"> </w:t>
      </w:r>
      <w:r>
        <w:t xml:space="preserve">under ETM to</w:t>
      </w:r>
      <w:r>
        <w:t xml:space="preserve"> </w:t>
      </w:r>
      <m:oMath>
        <m:r>
          <m:t>0.223</m:t>
        </m:r>
      </m:oMath>
      <w:r>
        <w:t xml:space="preserve"> </w:t>
      </w:r>
      <w:r>
        <w:t xml:space="preserve">here comes from the decoder parameterisation or from optimisation,</w:t>
      </w:r>
      <w:r>
        <w:t xml:space="preserve"> </w:t>
      </w:r>
      <w:r>
        <w:t xml:space="preserve">which these runs do not separate.</w:t>
      </w:r>
    </w:p>
    <w:bookmarkEnd w:id="76"/>
    <w:bookmarkStart w:id="81" w:name="cross-backbone-mean-f-7-at-q16"/>
    <w:p>
      <w:pPr>
        <w:pStyle w:val="Heading4"/>
      </w:pPr>
      <w:r>
        <w:t xml:space="preserve">Cross-backbone mean F-7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16</m:t>
        </m:r>
      </m:oMath>
    </w:p>
    <w:p>
      <w:pPr>
        <w:pStyle w:val="FirstParagraph"/>
      </w:pPr>
      <w:r>
        <w:t xml:space="preserve">Averaging across the</w:t>
      </w:r>
      <w:r>
        <w:t xml:space="preserve"> </w:t>
      </w:r>
      <w:r>
        <w:t xml:space="preserve">four backbones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16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Recipe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LDA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HDP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ProdLDA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ETM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0.454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0.359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0.441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0.534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0.525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0.390</w:t>
            </w:r>
          </w:p>
        </w:tc>
      </w:tr>
    </w:tbl>
    <w:p>
      <w:pPr>
        <w:pStyle w:val="BodyText"/>
      </w:pPr>
      <w:r>
        <w:rPr>
          <w:b/>
          <w:bCs/>
        </w:rPr>
        <w:t xml:space="preserve">V8 retains its cross-backbone leadership at</w:t>
      </w:r>
      <w:r>
        <w:rPr>
          <w:b/>
          <w:bCs/>
        </w:rPr>
        <w:t xml:space="preserve"> </w:t>
      </w:r>
      <m:oMath>
        <m:r>
          <m:t>Q</m:t>
        </m:r>
        <m:r>
          <m:rPr>
            <m:sty m:val="p"/>
          </m:rPr>
          <m:t>=</m:t>
        </m:r>
        <m:r>
          <m:t>16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m:oMath>
        <m:r>
          <m:t>0.441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mean, ahead of V20’s</w:t>
      </w:r>
      <w:r>
        <w:rPr>
          <w:b/>
          <w:bCs/>
        </w:rPr>
        <w:t xml:space="preserve"> </w:t>
      </w:r>
      <m:oMath>
        <m:r>
          <m:t>0.421</m:t>
        </m:r>
      </m:oMath>
      <w:r>
        <w:rPr>
          <w:b/>
          <w:bCs/>
        </w:rPr>
        <w:t xml:space="preserve">)</w:t>
      </w:r>
      <w:r>
        <w:t xml:space="preserve">, with a backbone split among these</w:t>
      </w:r>
      <w:r>
        <w:t xml:space="preserve"> </w:t>
      </w:r>
      <w:r>
        <w:t xml:space="preserve">three recipes: V8 leads under HDP and ProdLDA, V20 under LDA and ETM.</w:t>
      </w:r>
      <w:r>
        <w:t xml:space="preserve"> </w:t>
      </w:r>
      <w:r>
        <w:t xml:space="preserve">The split does not follow amortized inference: ProdLDA and ETM are</w:t>
      </w:r>
      <w:r>
        <w:t xml:space="preserve"> </w:t>
      </w:r>
      <w:r>
        <w:t xml:space="preserve">amortized, whereas LDA (online variational Bayes) and HDP are not. The</w:t>
      </w:r>
      <w:r>
        <w:t xml:space="preserve"> </w:t>
      </w:r>
      <w:r>
        <w:t xml:space="preserve">backbone-recipe interaction is therefore non-trivial across</w:t>
      </w:r>
      <w:r>
        <w:t xml:space="preserve"> </w:t>
      </w:r>
      <m:oMath>
        <m:r>
          <m:t>Q</m:t>
        </m:r>
      </m:oMath>
      <w:r>
        <w:t xml:space="preserve">: the</w:t>
      </w:r>
      <w:r>
        <w:t xml:space="preserve"> </w:t>
      </w:r>
      <w:r>
        <w:t xml:space="preserve">backbone the practitioner commits to determines whether label-aware</w:t>
      </w:r>
      <w:r>
        <w:t xml:space="preserve"> </w:t>
      </w:r>
      <w:r>
        <w:t xml:space="preserve">weighting (V20) or geometric endmember decomposition (V8) carries more</w:t>
      </w:r>
      <w:r>
        <w:t xml:space="preserve"> </w:t>
      </w:r>
      <w:r>
        <w:t xml:space="preserve">signal.</w:t>
      </w:r>
    </w:p>
    <w:bookmarkStart w:id="80" w:name="fig:corr"/>
    <w:p>
      <w:pPr>
        <w:pStyle w:val="CaptionedFigure"/>
      </w:pPr>
      <w:r>
        <w:drawing>
          <wp:inline>
            <wp:extent cx="5334000" cy="1919132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p3-axis-correlation.pdf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91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Spearman rank correlation across the 114 (recipe, scene)</w:t>
      </w:r>
      <w:r>
        <w:t xml:space="preserve"> </w:t>
      </w:r>
      <w:r>
        <w:t xml:space="preserve">cells; HDP, ProdLDA and ETM denote F-2</w:t>
      </w:r>
      <w:r>
        <w:t xml:space="preserve"> </w:t>
      </w:r>
      <m:oMath>
        <m:sSub>
          <m:e>
            <m:r>
              <m:t>c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under that backbone.</w:t>
      </w:r>
      <w:r>
        <w:t xml:space="preserve"> </w:t>
      </w:r>
      <w:r>
        <w:t xml:space="preserve">F-14 inverted so all axes read</w:t>
      </w:r>
      <w:r>
        <w:t xml:space="preserve"> </w:t>
      </w:r>
      <w:r>
        <w:t xml:space="preserve">“higher = better”</w:t>
      </w:r>
      <w:r>
        <w:t xml:space="preserve">.</w:t>
      </w:r>
      <w:r>
        <w:t xml:space="preserve"> </w:t>
      </w:r>
      <w:r>
        <w:t xml:space="preserve">F-2 / ETM and F-2 / ProdLDA cluster tightly (</w:t>
      </w:r>
      <m:oMath>
        <m:r>
          <m:t>ρ</m:t>
        </m:r>
        <m:r>
          <m:rPr>
            <m:sty m:val="p"/>
          </m:rPr>
          <m:t>≥</m:t>
        </m:r>
        <m:r>
          <m:t>0.76</m:t>
        </m:r>
      </m:oMath>
      <w:r>
        <w:t xml:space="preserve">);</w:t>
      </w:r>
      <w:r>
        <w:t xml:space="preserve"> </w:t>
      </w:r>
      <w:r>
        <w:t xml:space="preserve">F-14 anti-correlates with F-18 (</w:t>
      </w:r>
      <m:oMath>
        <m:r>
          <m:t>ρ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0.74</m:t>
        </m:r>
      </m:oMath>
      <w:r>
        <w:t xml:space="preserve">, the vocabulary-size</w:t>
      </w:r>
      <w:r>
        <w:t xml:space="preserve"> </w:t>
      </w:r>
      <w:r>
        <w:t xml:space="preserve">confounder); F-22 / F-7 correlate at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0.58</m:t>
        </m:r>
      </m:oMath>
      <w:r>
        <w:t xml:space="preserve"> </w:t>
      </w:r>
      <w:r>
        <w:t xml:space="preserve">(robust topics tend</w:t>
      </w:r>
      <w:r>
        <w:t xml:space="preserve"> </w:t>
      </w:r>
      <w:r>
        <w:t xml:space="preserve">to be label-aligned). The HDP column includes the V15 cells computed</w:t>
      </w:r>
      <w:r>
        <w:t xml:space="preserve"> </w:t>
      </w:r>
      <w:r>
        <w:t xml:space="preserve">on the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vocabulary (Fig. </w:t>
      </w:r>
      <w:hyperlink w:anchor="fig:backbone-factorial">
        <w:r>
          <w:rPr>
            <w:rStyle w:val="Hyperlink"/>
          </w:rPr>
          <w:t xml:space="preserve">7</w:t>
        </w:r>
      </w:hyperlink>
      <w:r>
        <w:t xml:space="preserve">).</w:t>
      </w:r>
    </w:p>
    <w:bookmarkEnd w:id="80"/>
    <w:bookmarkEnd w:id="81"/>
    <w:bookmarkStart w:id="82" w:name="v8-stable-on-f-18-across-q"/>
    <w:p>
      <w:pPr>
        <w:pStyle w:val="Heading4"/>
      </w:pPr>
      <w:r>
        <w:t xml:space="preserve">V8 stable on F-18 across</w:t>
      </w:r>
      <w:r>
        <w:t xml:space="preserve"> </w:t>
      </w:r>
      <m:oMath>
        <m:r>
          <m:t>Q</m:t>
        </m:r>
      </m:oMath>
    </w:p>
    <w:p>
      <w:pPr>
        <w:pStyle w:val="FirstParagraph"/>
      </w:pPr>
      <w:r>
        <w:t xml:space="preserve">Extending F-18 to Q=16/32</w:t>
      </w:r>
      <w:r>
        <w:t xml:space="preserve"> </w:t>
      </w:r>
      <w:r>
        <w:t xml:space="preserve">on the V20 / V8 / V2 trio yields mean matched cosine across the six</w:t>
      </w:r>
      <w:r>
        <w:t xml:space="preserve"> </w:t>
      </w:r>
      <w:r>
        <w:t xml:space="preserve">labelled scenes (italic: values under the vocabulary criterion):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Recipe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Q=8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Q=16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Q=32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0.957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0.962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0.959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1.000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0.443</w:t>
            </w:r>
          </w:p>
        </w:tc>
      </w:tr>
    </w:tbl>
    <w:p>
      <w:pPr>
        <w:pStyle w:val="BodyText"/>
      </w:pPr>
      <w:r>
        <w:t xml:space="preserve">V8 stays between</w:t>
      </w:r>
      <w:r>
        <w:t xml:space="preserve"> </w:t>
      </w:r>
      <m:oMath>
        <m:r>
          <m:t>0.957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0.962</m:t>
        </m:r>
      </m:oMath>
      <w:r>
        <w:t xml:space="preserve"> </w:t>
      </w:r>
      <w:r>
        <w:t xml:space="preserve">on the F-18 mean matched cosine</w:t>
      </w:r>
      <w:r>
        <w:t xml:space="preserve"> </w:t>
      </w:r>
      <w:r>
        <w:t xml:space="preserve">across the three Q levels. Its vocabulary does not grow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(the</w:t>
      </w:r>
      <w:r>
        <w:t xml:space="preserve"> </w:t>
      </w:r>
      <w:r>
        <w:t xml:space="preserve">same 6–12 endmember tokens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8</m:t>
        </m:r>
      </m:oMath>
      <w:r>
        <w:t xml:space="preserve">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</m:oMath>
      <w:r>
        <w:t xml:space="preserve">), so it meets the</w:t>
      </w:r>
      <w:r>
        <w:t xml:space="preserve"> </w:t>
      </w:r>
      <w:r>
        <w:t xml:space="preserve">vocabulary criterion at every</w:t>
      </w:r>
      <w:r>
        <w:t xml:space="preserve"> </w:t>
      </w:r>
      <m:oMath>
        <m:r>
          <m:t>Q</m:t>
        </m:r>
      </m:oMath>
      <w:r>
        <w:t xml:space="preserve">: every matched pair has cosine at</w:t>
      </w:r>
      <w:r>
        <w:t xml:space="preserve"> </w:t>
      </w:r>
      <w:r>
        <w:t xml:space="preserve">least 0.8 whatever the fits, and these values do not measure reseed</w:t>
      </w:r>
      <w:r>
        <w:t xml:space="preserve"> </w:t>
      </w:r>
      <w:r>
        <w:t xml:space="preserve">behaviour. V20 stays near 0.45 at every</w:t>
      </w:r>
      <w:r>
        <w:t xml:space="preserve"> </w:t>
      </w:r>
      <m:oMath>
        <m:r>
          <m:t>Q</m:t>
        </m:r>
      </m:oMath>
      <w:r>
        <w:t xml:space="preserve">, inside the range of the</w:t>
      </w:r>
      <w:r>
        <w:t xml:space="preserve"> </w:t>
      </w:r>
      <w:r>
        <w:t xml:space="preserve">per-band recipes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(0.35 for V12 to 0.58 for V1). V2 falls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m:oMath>
        <m:r>
          <m:t>1.000</m:t>
        </m:r>
      </m:oMath>
      <w:r>
        <w:t xml:space="preserve">,</w:t>
      </w:r>
      <w:r>
        <w:t xml:space="preserve"> </w:t>
      </w:r>
      <m:oMath>
        <m:r>
          <m:t>0.875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0.781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8</m:t>
        </m:r>
      </m:oMath>
      <w:r>
        <w:t xml:space="preserve">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</m:oMath>
      <w:r>
        <w:t xml:space="preserve">) as its vocabulary grows from 8</w:t>
      </w:r>
      <w:r>
        <w:t xml:space="preserve"> </w:t>
      </w:r>
      <w:r>
        <w:t xml:space="preserve">to 32 word types and leaves the criterion, confirming that V2’s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value of</w:t>
      </w:r>
      <w:r>
        <w:t xml:space="preserve"> </w:t>
      </w:r>
      <m:oMath>
        <m:r>
          <m:t>1.0</m:t>
        </m:r>
      </m:oMath>
      <w:r>
        <w:t xml:space="preserve"> </w:t>
      </w:r>
      <w:r>
        <w:t xml:space="preserve">is the vocabulary-size artefact flagged above.</w:t>
      </w:r>
    </w:p>
    <w:p>
      <w:pPr>
        <w:pStyle w:val="BodyText"/>
      </w:pPr>
      <w:r>
        <w:t xml:space="preserve">The recommendation therefore rests on cross-backbone F-7 portability</w:t>
      </w:r>
      <w:r>
        <w:t xml:space="preserve"> </w:t>
      </w:r>
      <w:r>
        <w:t xml:space="preserve">(Table </w:t>
      </w:r>
      <w:hyperlink w:anchor="tab:f7-4backbone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and the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table above), not on</w:t>
      </w:r>
      <w:r>
        <w:t xml:space="preserve"> </w:t>
      </w:r>
      <w:r>
        <w:t xml:space="preserve">F-18:</w:t>
      </w:r>
      <w:r>
        <w:t xml:space="preserve"> </w:t>
      </w:r>
      <w:r>
        <w:rPr>
          <w:b/>
          <w:bCs/>
        </w:rPr>
        <w:t xml:space="preserve">V8 is the recipe of choice when the topic-model backbone</w:t>
      </w:r>
      <w:r>
        <w:rPr>
          <w:b/>
          <w:bCs/>
        </w:rPr>
        <w:t xml:space="preserve"> </w:t>
      </w:r>
      <w:r>
        <w:rPr>
          <w:b/>
          <w:bCs/>
        </w:rPr>
        <w:t xml:space="preserve">is uncertain</w:t>
      </w:r>
      <w:r>
        <w:t xml:space="preserve">; V20 is the recipe of choice when LDA is fixed and one</w:t>
      </w:r>
      <w:r>
        <w:t xml:space="preserve"> </w:t>
      </w:r>
      <w:r>
        <w:t xml:space="preserve">can afford</w:t>
      </w:r>
      <w:r>
        <w:t xml:space="preserve"> </w:t>
      </w:r>
      <m:oMath>
        <m:r>
          <m:t>Q</m:t>
        </m:r>
        <m:r>
          <m:rPr>
            <m:sty m:val="p"/>
          </m:rPr>
          <m:t>≥</m:t>
        </m:r>
        <m:r>
          <m:t>16</m:t>
        </m:r>
      </m:oMath>
      <w:r>
        <w:t xml:space="preserve"> </w:t>
      </w:r>
      <w:r>
        <w:t xml:space="preserve">and accept the seed-sensitivity tradeoff.</w:t>
      </w:r>
    </w:p>
    <w:bookmarkEnd w:id="82"/>
    <w:bookmarkEnd w:id="83"/>
    <w:bookmarkEnd w:id="84"/>
    <w:bookmarkStart w:id="90" w:name="sec:affinities"/>
    <w:p>
      <w:pPr>
        <w:pStyle w:val="Heading1"/>
      </w:pPr>
      <w:r>
        <w:t xml:space="preserve">Four axis–recipe affinities and one hypothesis</w:t>
      </w:r>
    </w:p>
    <w:p>
      <w:pPr>
        <w:pStyle w:val="FirstParagraph"/>
      </w:pPr>
      <w:r>
        <w:t xml:space="preserve">The nineteen-recipe sweep exposes four axis–recipe</w:t>
      </w:r>
      <w:r>
        <w:t xml:space="preserve"> </w:t>
      </w:r>
      <w:r>
        <w:t xml:space="preserve">affinities (§</w:t>
      </w:r>
      <w:hyperlink w:anchor="subsec:v3-affinity">
        <w:r>
          <w:rPr>
            <w:rStyle w:val="Hyperlink"/>
          </w:rPr>
          <w:t xml:space="preserve">12.1</w:t>
        </w:r>
      </w:hyperlink>
      <w:r>
        <w:t xml:space="preserve">–</w:t>
      </w:r>
      <w:hyperlink w:anchor="subsec:v18-affinity">
        <w:r>
          <w:rPr>
            <w:rStyle w:val="Hyperlink"/>
          </w:rPr>
          <w:t xml:space="preserve">12.4</w:t>
        </w:r>
      </w:hyperlink>
      <w:r>
        <w:t xml:space="preserve">); a</w:t>
      </w:r>
      <w:r>
        <w:t xml:space="preserve"> </w:t>
      </w:r>
      <w:r>
        <w:t xml:space="preserve">fifth is a hypothesis that this study does not test</w:t>
      </w:r>
      <w:r>
        <w:t xml:space="preserve"> </w:t>
      </w:r>
      <w:r>
        <w:t xml:space="preserve">(§</w:t>
      </w:r>
      <w:hyperlink w:anchor="subsec:v7-hypothesis">
        <w:r>
          <w:rPr>
            <w:rStyle w:val="Hyperlink"/>
          </w:rPr>
          <w:t xml:space="preserve">12.5</w:t>
        </w:r>
      </w:hyperlink>
      <w:r>
        <w:t xml:space="preserve">).</w:t>
      </w:r>
    </w:p>
    <w:bookmarkStart w:id="85" w:name="subsec:v3-affinity"/>
    <w:p>
      <w:pPr>
        <w:pStyle w:val="Heading2"/>
      </w:pPr>
      <w:r>
        <w:t xml:space="preserve">V3 vs. F-7 topic–label coupling</w:t>
      </w:r>
    </w:p>
    <w:p>
      <w:pPr>
        <w:pStyle w:val="FirstParagraph"/>
      </w:pPr>
      <w:r>
        <w:t xml:space="preserve">In the twelve-recipe view of Table </w:t>
      </w:r>
      <w:hyperlink w:anchor="tab:f7-full">
        <w:r>
          <w:rPr>
            <w:rStyle w:val="Hyperlink"/>
          </w:rPr>
          <w:t xml:space="preserve">[tab:f7-full]</w:t>
        </w:r>
      </w:hyperlink>
      <w:r>
        <w:t xml:space="preserve">, V3 (the joint</w:t>
      </w:r>
      <w:r>
        <w:t xml:space="preserve"> </w:t>
      </w:r>
      <w:r>
        <w:t xml:space="preserve">(band, bin) vocabulary) wins F-7 NMI on Kennedy SC (0.54), Salinas-A</w:t>
      </w:r>
      <w:r>
        <w:t xml:space="preserve"> </w:t>
      </w:r>
      <w:r>
        <w:t xml:space="preserve">(0.68) and Indian Pines (0.430 against V8’s 0.428), while V12 wins on</w:t>
      </w:r>
      <w:r>
        <w:t xml:space="preserve"> </w:t>
      </w:r>
      <w:r>
        <w:t xml:space="preserve">Pavia U (0.61) and Salinas (0.64). V3 exceeds V1 by</w:t>
      </w:r>
      <w:r>
        <w:t xml:space="preserve"> </w:t>
      </w:r>
      <m:oMath>
        <m:r>
          <m:t>0.06</m:t>
        </m:r>
      </m:oMath>
      <w:r>
        <w:t xml:space="preserve">–</w:t>
      </w:r>
      <m:oMath>
        <m:r>
          <m:t>0.13</m:t>
        </m:r>
      </m:oMath>
      <w:r>
        <w:t xml:space="preserve"> </w:t>
      </w:r>
      <w:r>
        <w:t xml:space="preserve">NMI</w:t>
      </w:r>
      <w:r>
        <w:t xml:space="preserve"> </w:t>
      </w:r>
      <w:r>
        <w:t xml:space="preserve">on four of the five scenes and trails it on Salinas (0.43 vs. 0.47).</w:t>
      </w:r>
      <w:r>
        <w:t xml:space="preserve"> </w:t>
      </w:r>
      <w:r>
        <w:t xml:space="preserve">A likely mechanism: V3 carries</w:t>
      </w:r>
      <w:r>
        <w:t xml:space="preserve"> </w:t>
      </w:r>
      <m:oMath>
        <m:r>
          <m:t>B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word types (1600 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200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=</m:t>
        </m:r>
        <m:r>
          <m:t>8</m:t>
        </m:r>
      </m:oMath>
      <w:r>
        <w:t xml:space="preserve">) versus V1’s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w:r>
        <w:t xml:space="preserve">the larger vocabulary lets a single topic concentrate on</w:t>
      </w:r>
      <w:r>
        <w:t xml:space="preserve"> </w:t>
      </w:r>
      <w:r>
        <w:t xml:space="preserve">intensity-specific band signatures that map onto land-cover classes.</w:t>
      </w:r>
      <w:r>
        <w:t xml:space="preserve"> </w:t>
      </w:r>
      <w:r>
        <w:t xml:space="preserve">On F-1 macro-F1 the recipes differ by less than 0.01</w:t>
      </w:r>
      <w:r>
        <w:t xml:space="preserve"> </w:t>
      </w:r>
      <w:r>
        <w:t xml:space="preserve">(§</w:t>
      </w:r>
      <w:hyperlink w:anchor="sec:bayes">
        <w:r>
          <w:rPr>
            <w:rStyle w:val="Hyperlink"/>
          </w:rPr>
          <w:t xml:space="preserve">9</w:t>
        </w:r>
      </w:hyperlink>
      <w:r>
        <w:t xml:space="preserve">).</w:t>
      </w:r>
    </w:p>
    <w:bookmarkEnd w:id="85"/>
    <w:bookmarkStart w:id="86" w:name="v12-vs.-f-2-coherence-on-dense-regimes"/>
    <w:p>
      <w:pPr>
        <w:pStyle w:val="Heading2"/>
      </w:pPr>
      <w:r>
        <w:t xml:space="preserve">V12 vs. F-2 coherence on dense regimes</w:t>
      </w:r>
    </w:p>
    <w:p>
      <w:pPr>
        <w:pStyle w:val="FirstParagraph"/>
      </w:pPr>
      <w:r>
        <w:t xml:space="preserve">In the twelve-recipe view of Table </w:t>
      </w:r>
      <w:hyperlink w:anchor="tab:f2-full">
        <w:r>
          <w:rPr>
            <w:rStyle w:val="Hyperlink"/>
          </w:rPr>
          <w:t xml:space="preserve">[tab:f2-full]</w:t>
        </w:r>
      </w:hyperlink>
      <w:r>
        <w:t xml:space="preserve">, V12</w:t>
      </w:r>
      <w:r>
        <w:t xml:space="preserve"> </w:t>
      </w:r>
      <w:r>
        <w:t xml:space="preserve">(Gaussian-mixture-component tokens) wins F-2</w:t>
      </w:r>
      <w:r>
        <w:t xml:space="preserve"> </w:t>
      </w:r>
      <m:oMath>
        <m:sSub>
          <m:e>
            <m:r>
              <m:t>c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on Indian Pines</w:t>
      </w:r>
      <w:r>
        <w:t xml:space="preserve"> </w:t>
      </w:r>
      <w:r>
        <w:t xml:space="preserve">(</w:t>
      </w:r>
      <m:oMath>
        <m:sSub>
          <m:e>
            <m:r>
              <m:t>c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0.79</m:t>
        </m:r>
      </m:oMath>
      <w:r>
        <w:t xml:space="preserve"> </w:t>
      </w:r>
      <w:r>
        <w:t xml:space="preserve">vs. V1’s 0.32), a scene that V20 (0.88) takes in the</w:t>
      </w:r>
      <w:r>
        <w:t xml:space="preserve"> </w:t>
      </w:r>
      <w:r>
        <w:t xml:space="preserve">nineteen-recipe sweep (Table </w:t>
      </w:r>
      <w:hyperlink w:anchor="tab:f2-full19">
        <w:r>
          <w:rPr>
            <w:rStyle w:val="Hyperlink"/>
          </w:rPr>
          <w:t xml:space="preserve">[tab:f2-full19]</w:t>
        </w:r>
      </w:hyperlink>
      <w:r>
        <w:t xml:space="preserve">), and it is</w:t>
      </w:r>
      <w:r>
        <w:t xml:space="preserve"> </w:t>
      </w:r>
      <w:r>
        <w:t xml:space="preserve">competitive on the other dense scenes. A likely reason is that the</w:t>
      </w:r>
      <w:r>
        <w:t xml:space="preserve"> </w:t>
      </w:r>
      <w:r>
        <w:t xml:space="preserve">mixture components follow the intensity distribution of the scene</w:t>
      </w:r>
      <w:r>
        <w:t xml:space="preserve"> </w:t>
      </w:r>
      <w:r>
        <w:t xml:space="preserve">instead of splitting each spectrum’s range into equal bins</w:t>
      </w:r>
      <w:r>
        <w:t xml:space="preserve"> </w:t>
      </w:r>
      <w:hyperlink w:anchor="eq:v12">
        <w:r>
          <w:rPr>
            <w:rStyle w:val="Hyperlink"/>
          </w:rPr>
          <w:t xml:space="preserve">[eq:v12]</w:t>
        </w:r>
      </w:hyperlink>
      <w:r>
        <w:t xml:space="preserve">; this study does not separate that effect from V12’s</w:t>
      </w:r>
      <w:r>
        <w:t xml:space="preserve"> </w:t>
      </w:r>
      <w:r>
        <w:t xml:space="preserve">other difference from V3, the absence of per-spectrum normalisation.</w:t>
      </w:r>
    </w:p>
    <w:bookmarkEnd w:id="86"/>
    <w:bookmarkStart w:id="87" w:name="subsec:v20-affinity"/>
    <w:p>
      <w:pPr>
        <w:pStyle w:val="Heading2"/>
      </w:pPr>
      <w:r>
        <w:t xml:space="preserve">V20 vs. F-7 label-information-rich scenes</w:t>
      </w:r>
    </w:p>
    <w:p>
      <w:pPr>
        <w:pStyle w:val="FirstParagraph"/>
      </w:pPr>
      <w:r>
        <w:t xml:space="preserve">V20 (MI-weighted bands) wins F-7 on Indian Pines (0.44, the most</w:t>
      </w:r>
      <w:r>
        <w:t xml:space="preserve"> </w:t>
      </w:r>
      <w:r>
        <w:t xml:space="preserve">class-imbalanced scene), ties V3 on Salinas-A (0.68, the easiest scene</w:t>
      </w:r>
      <w:r>
        <w:t xml:space="preserve"> </w:t>
      </w:r>
      <w:r>
        <w:t xml:space="preserve">by F-1), and matches V12 to within</w:t>
      </w:r>
      <w:r>
        <w:t xml:space="preserve"> </w:t>
      </w:r>
      <m:oMath>
        <m:r>
          <m:t>0.02</m:t>
        </m:r>
      </m:oMath>
      <w:r>
        <w:t xml:space="preserve"> </w:t>
      </w:r>
      <w:r>
        <w:t xml:space="preserve">NMI mean across the rest of</w:t>
      </w:r>
      <w:r>
        <w:t xml:space="preserve"> </w:t>
      </w:r>
      <w:r>
        <w:t xml:space="preserve">the panel. On Indian Pines its weights are broad rather than</w:t>
      </w:r>
      <w:r>
        <w:t xml:space="preserve"> </w:t>
      </w:r>
      <w:r>
        <w:t xml:space="preserve">concentrated: 169 of the 200 bands receive at least 5 of the 8</w:t>
      </w:r>
      <w:r>
        <w:t xml:space="preserve"> </w:t>
      </w:r>
      <w:r>
        <w:t xml:space="preserve">possible copies and 22 receive 3 or fewer, one of them none, so V20</w:t>
      </w:r>
      <w:r>
        <w:t xml:space="preserve"> </w:t>
      </w:r>
      <w:r>
        <w:t xml:space="preserve">differs from V3 mainly by down-weighting a minority of low-MI bands.</w:t>
      </w:r>
      <w:r>
        <w:t xml:space="preserve"> </w:t>
      </w:r>
      <w:r>
        <w:t xml:space="preserve">Its weights come from the labels that F-7 is scored against</w:t>
      </w:r>
      <w:r>
        <w:t xml:space="preserve"> </w:t>
      </w:r>
      <w:r>
        <w:t xml:space="preserve">(§</w:t>
      </w:r>
      <w:hyperlink w:anchor="sec:results">
        <w:r>
          <w:rPr>
            <w:rStyle w:val="Hyperlink"/>
          </w:rPr>
          <w:t xml:space="preserve">5</w:t>
        </w:r>
      </w:hyperlink>
      <w:r>
        <w:t xml:space="preserve">). The recipe is parameterised by a single integer</w:t>
      </w:r>
      <w:r>
        <w:t xml:space="preserve"> </w:t>
      </w:r>
      <w:r>
        <w:t xml:space="preserve">(</w:t>
      </w:r>
      <w:r>
        <w:rPr>
          <w:rStyle w:val="VerbatimChar"/>
        </w:rPr>
        <w:t xml:space="preserve">MAX_COPIES</w:t>
      </w:r>
      <w:r>
        <w:t xml:space="preserve"> </w:t>
      </w:r>
      <m:oMath>
        <m:r>
          <m:rPr>
            <m:sty m:val="p"/>
          </m:rPr>
          <m:t>=</m:t>
        </m:r>
        <m:r>
          <m:t>8</m:t>
        </m:r>
      </m:oMath>
      <w:r>
        <w:t xml:space="preserve">) and adds no per-fit cost, because the MI</w:t>
      </w:r>
      <w:r>
        <w:t xml:space="preserve"> </w:t>
      </w:r>
      <w:r>
        <w:t xml:space="preserve">estimate is computed once per scene.</w:t>
      </w:r>
    </w:p>
    <w:bookmarkEnd w:id="87"/>
    <w:bookmarkStart w:id="88" w:name="subsec:v18-affinity"/>
    <w:p>
      <w:pPr>
        <w:pStyle w:val="Heading2"/>
      </w:pPr>
      <w:r>
        <w:t xml:space="preserve">V18 vs. F-7 on manifold-shaped scenes</w:t>
      </w:r>
    </w:p>
    <w:p>
      <w:pPr>
        <w:pStyle w:val="FirstParagraph"/>
      </w:pPr>
      <w:r>
        <w:t xml:space="preserve">Among the unsupervised structure-aware extension recipes (V13, V17,</w:t>
      </w:r>
      <w:r>
        <w:t xml:space="preserve"> </w:t>
      </w:r>
      <w:r>
        <w:t xml:space="preserve">V18, V19), V18 (graph-Laplacian eigenvectors) has the highest F-7 NMI</w:t>
      </w:r>
      <w:r>
        <w:t xml:space="preserve"> </w:t>
      </w:r>
      <w:r>
        <w:t xml:space="preserve">on Pavia U (0.52) and Salinas (0.50, Table </w:t>
      </w:r>
      <w:hyperlink w:anchor="tab:f7-extension">
        <w:r>
          <w:rPr>
            <w:rStyle w:val="Hyperlink"/>
          </w:rPr>
          <w:t xml:space="preserve">[tab:f7-extension]</w:t>
        </w:r>
      </w:hyperlink>
      <w:r>
        <w:t xml:space="preserve">), and</w:t>
      </w:r>
      <w:r>
        <w:t xml:space="preserve"> </w:t>
      </w:r>
      <w:r>
        <w:t xml:space="preserve">it places third on F-7 mean among the extension recipes (0.43 NMI).</w:t>
      </w:r>
      <w:r>
        <w:t xml:space="preserve"> </w:t>
      </w:r>
      <w:r>
        <w:t xml:space="preserve">Against all nineteen recipes it leads neither scene. The intuition: scenes whose labelled classes</w:t>
      </w:r>
      <w:r>
        <w:t xml:space="preserve"> </w:t>
      </w:r>
      <w:r>
        <w:t xml:space="preserve">correspond to connected regions in the pixel-similarity graph (urban</w:t>
      </w:r>
      <w:r>
        <w:t xml:space="preserve"> </w:t>
      </w:r>
      <w:r>
        <w:t xml:space="preserve">land-cover types in Pavia, agricultural fields in Salinas) yield</w:t>
      </w:r>
      <w:r>
        <w:t xml:space="preserve"> </w:t>
      </w:r>
      <w:r>
        <w:t xml:space="preserve">informative Laplacian eigenvectors whose low frequencies group those</w:t>
      </w:r>
      <w:r>
        <w:t xml:space="preserve"> </w:t>
      </w:r>
      <w:r>
        <w:t xml:space="preserve">regions. Bin-tokens over those eigenvectors then carry segmentation</w:t>
      </w:r>
      <w:r>
        <w:t xml:space="preserve"> </w:t>
      </w:r>
      <w:r>
        <w:t xml:space="preserve">semantics that LDA can fit topics around. The result is a recipe that</w:t>
      </w:r>
      <w:r>
        <w:t xml:space="preserve"> </w:t>
      </w:r>
      <w:r>
        <w:t xml:space="preserve">explicitly exposes the manifold structure to the topic model.</w:t>
      </w:r>
    </w:p>
    <w:bookmarkEnd w:id="88"/>
    <w:bookmarkStart w:id="89" w:name="subsec:v7-hypothesis"/>
    <w:p>
      <w:pPr>
        <w:pStyle w:val="Heading2"/>
      </w:pPr>
      <w:r>
        <w:t xml:space="preserve">V7 vs. F-9 HIDSAG cross-preprocessing</w:t>
      </w:r>
      <w:r>
        <w:t xml:space="preserve"> </w:t>
      </w:r>
      <w:r>
        <w:t xml:space="preserve">(hypothesis)</w:t>
      </w:r>
    </w:p>
    <w:p>
      <w:pPr>
        <w:pStyle w:val="FirstParagraph"/>
      </w:pPr>
      <w:r>
        <w:t xml:space="preserve">This fifth affinity is a hypothesis that the present study does not</w:t>
      </w:r>
      <w:r>
        <w:t xml:space="preserve"> </w:t>
      </w:r>
      <w:r>
        <w:t xml:space="preserve">test: F-9 is not swept (§</w:t>
      </w:r>
      <w:hyperlink w:anchor="sec:limitations">
        <w:r>
          <w:rPr>
            <w:rStyle w:val="Hyperlink"/>
          </w:rPr>
          <w:t xml:space="preserve">14</w:t>
        </w:r>
      </w:hyperlink>
      <w:r>
        <w:t xml:space="preserve">). V7 is the most</w:t>
      </w:r>
      <w:r>
        <w:t xml:space="preserve"> </w:t>
      </w:r>
      <w:r>
        <w:t xml:space="preserve">chemistry-faithful recipe (centroid, depth, area triplets), and we</w:t>
      </w:r>
      <w:r>
        <w:t xml:space="preserve"> </w:t>
      </w:r>
      <w:r>
        <w:t xml:space="preserve">expect it to dominate on the HIDSAG mineralogical subsets, where</w:t>
      </w:r>
      <w:r>
        <w:t xml:space="preserve"> </w:t>
      </w:r>
      <w:r>
        <w:t xml:space="preserve">USGS-library matching is the gold standard.</w:t>
      </w:r>
    </w:p>
    <w:bookmarkEnd w:id="89"/>
    <w:bookmarkEnd w:id="90"/>
    <w:bookmarkStart w:id="91" w:name="sec:recommendation"/>
    <w:p>
      <w:pPr>
        <w:pStyle w:val="Heading1"/>
      </w:pPr>
      <w:r>
        <w:t xml:space="preserve">Recommendation: V1 as canonical default, not universal best</w:t>
      </w:r>
    </w:p>
    <w:p>
      <w:pPr>
        <w:pStyle w:val="FirstParagraph"/>
      </w:pPr>
      <w:r>
        <w:t xml:space="preserve">The sweep supports a sharper statement about V1’s</w:t>
      </w:r>
      <w:r>
        <w:t xml:space="preserve"> </w:t>
      </w:r>
      <w:r>
        <w:t xml:space="preserve">role: V1 should remain canonical as a</w:t>
      </w:r>
      <w:r>
        <w:t xml:space="preserve"> </w:t>
      </w:r>
      <w:r>
        <w:rPr>
          <w:i/>
          <w:iCs/>
        </w:rPr>
        <w:t xml:space="preserve">reproducibility default</w:t>
      </w:r>
      <w:r>
        <w:t xml:space="preserve"> </w:t>
      </w:r>
      <w:r>
        <w:t xml:space="preserve">(deterministic, dense, well-understood, and the band–frequency</w:t>
      </w:r>
      <w:r>
        <w:t xml:space="preserve"> </w:t>
      </w:r>
      <w:r>
        <w:t xml:space="preserve">representation of the geometallurgical study </w:t>
      </w:r>
      <w:r>
        <w:t xml:space="preserve">(Santibañez-Leal et al. 2022)</w:t>
      </w:r>
      <w:r>
        <w:t xml:space="preserve"> </w:t>
      </w:r>
      <w:r>
        <w:t xml:space="preserve">that V1–V3 generalise) but should not be claimed as a universal best. P1’s</w:t>
      </w:r>
      <w:r>
        <w:t xml:space="preserve"> </w:t>
      </w:r>
      <w:r>
        <w:t xml:space="preserve">framework results, computed on V1, are stable benchmarks; a future</w:t>
      </w:r>
      <w:r>
        <w:t xml:space="preserve"> </w:t>
      </w:r>
      <w:r>
        <w:t xml:space="preserve">study comparing V1 against, say, V3 or V12 on F-7 would need to refit.</w:t>
      </w:r>
      <w:r>
        <w:t xml:space="preserve"> </w:t>
      </w:r>
      <w:r>
        <w:t xml:space="preserve">The proposed convention is to report every framework result against</w:t>
      </w:r>
      <w:r>
        <w:t xml:space="preserve"> </w:t>
      </w:r>
      <w:r>
        <w:t xml:space="preserve">V1 alongside the per-axis best recipe.</w:t>
      </w:r>
    </w:p>
    <w:bookmarkEnd w:id="91"/>
    <w:bookmarkStart w:id="92" w:name="sec:limitations"/>
    <w:p>
      <w:pPr>
        <w:pStyle w:val="Heading1"/>
      </w:pPr>
      <w:r>
        <w:t xml:space="preserve">Limitations and future work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V11 reproducibility</w:t>
      </w:r>
      <w:r>
        <w:t xml:space="preserve">: the implementation does not pin</w:t>
      </w:r>
      <w:r>
        <w:t xml:space="preserve"> </w:t>
      </w:r>
      <w:r>
        <w:t xml:space="preserve">a random seed for the nanopq codebook fit, so the V11 results</w:t>
      </w:r>
      <w:r>
        <w:t xml:space="preserve"> </w:t>
      </w:r>
      <w:r>
        <w:t xml:space="preserve">reported here come from a single unseeded codebook fit and may</w:t>
      </w:r>
      <w:r>
        <w:t xml:space="preserve"> </w:t>
      </w:r>
      <w:r>
        <w:t xml:space="preserve">change when the seed is pinned and the cells are recomputed.</w:t>
      </w:r>
    </w:p>
    <w:p>
      <w:pPr>
        <w:numPr>
          <w:ilvl w:val="0"/>
          <w:numId w:val="1003"/>
        </w:numPr>
      </w:pPr>
      <m:oMath>
        <m:sSub>
          <m:e>
            <m:r>
              <m:t>c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 dense recipes</w:t>
      </w:r>
      <w:r>
        <w:t xml:space="preserve">: V1 (and any other recipe</w:t>
      </w:r>
      <w:r>
        <w:t xml:space="preserve"> </w:t>
      </w:r>
      <w:r>
        <w:t xml:space="preserve">with mean doc length close to</w:t>
      </w:r>
      <w:r>
        <w:t xml:space="preserve"> </w:t>
      </w:r>
      <m:oMath>
        <m:r>
          <m:rPr>
            <m:sty m:val="p"/>
          </m:rPr>
          <m:t>|</m:t>
        </m:r>
        <m:r>
          <m:rPr>
            <m:scr m:val="script"/>
            <m:sty m:val="p"/>
          </m:rPr>
          <m:t>V</m:t>
        </m:r>
        <m:r>
          <m:rPr>
            <m:sty m:val="p"/>
          </m:rPr>
          <m:t>|</m:t>
        </m:r>
      </m:oMath>
      <w:r>
        <w:t xml:space="preserve">) produces a degenerate</w:t>
      </w:r>
      <w:r>
        <w:t xml:space="preserve"> </w:t>
      </w:r>
      <w:r>
        <w:t xml:space="preserve">pixel-as-document NPMI because nearly every word fires in every document.</w:t>
      </w:r>
      <w:r>
        <w:t xml:space="preserve"> </w:t>
      </w:r>
      <w:r>
        <w:t xml:space="preserve">A sliding-window estimator would yield comparable numbers; we</w:t>
      </w:r>
      <w:r>
        <w:t xml:space="preserve"> </w:t>
      </w:r>
      <w:r>
        <w:t xml:space="preserve">leave that to a follow-up.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F-3 / F-4 / F-5 / F-8 / F-9 / F-10 / F-11 / F-12</w:t>
      </w:r>
      <w:r>
        <w:rPr>
          <w:b/>
          <w:bCs/>
        </w:rPr>
        <w:t xml:space="preserve"> </w:t>
      </w:r>
      <w:r>
        <w:rPr>
          <w:b/>
          <w:bCs/>
        </w:rPr>
        <w:t xml:space="preserve">not swept</w:t>
      </w:r>
      <w:r>
        <w:t xml:space="preserve">: the sweep reports F-1, F-2 and F-7, together with the</w:t>
      </w:r>
      <w:r>
        <w:t xml:space="preserve"> </w:t>
      </w:r>
      <w:r>
        <w:t xml:space="preserve">extension axes of §</w:t>
      </w:r>
      <w:hyperlink w:anchor="sec:extensions">
        <w:r>
          <w:rPr>
            <w:rStyle w:val="Hyperlink"/>
          </w:rPr>
          <w:t xml:space="preserve">11</w:t>
        </w:r>
      </w:hyperlink>
      <w:r>
        <w:t xml:space="preserve">. The remaining framework</w:t>
      </w:r>
      <w:r>
        <w:t xml:space="preserve"> </w:t>
      </w:r>
      <w:r>
        <w:t xml:space="preserve">axes are left to future work, either as an extension of this</w:t>
      </w:r>
      <w:r>
        <w:t xml:space="preserve"> </w:t>
      </w:r>
      <w:r>
        <w:t xml:space="preserve">study or as a separate one.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V16 foundation-model embeddings not built</w:t>
      </w:r>
      <w:r>
        <w:t xml:space="preserve">: V16 is</w:t>
      </w:r>
      <w:r>
        <w:t xml:space="preserve"> </w:t>
      </w:r>
      <w:r>
        <w:t xml:space="preserve">reserved for a foundation-model wordification (HyperSIGMA,</w:t>
      </w:r>
      <w:r>
        <w:t xml:space="preserve"> </w:t>
      </w:r>
      <w:r>
        <w:t xml:space="preserve">HyperspectralMAE, or SatMAE) that embeds each pixel into a learnt</w:t>
      </w:r>
      <w:r>
        <w:t xml:space="preserve"> </w:t>
      </w:r>
      <w:r>
        <w:t xml:space="preserve">latent space and quantises that into LDA tokens. Building V16</w:t>
      </w:r>
      <w:r>
        <w:t xml:space="preserve"> </w:t>
      </w:r>
      <w:r>
        <w:t xml:space="preserve">requires GPU inference at scene scale, which exceeds the</w:t>
      </w:r>
      <w:r>
        <w:t xml:space="preserve"> </w:t>
      </w:r>
      <w:r>
        <w:t xml:space="preserve">single-node computational resources used in this study. We expect</w:t>
      </w:r>
      <w:r>
        <w:t xml:space="preserve"> </w:t>
      </w:r>
      <w:r>
        <w:t xml:space="preserve">V16 to set the upper bound for F-7 NMI on the panel; its slot in</w:t>
      </w:r>
      <w:r>
        <w:t xml:space="preserve"> </w:t>
      </w:r>
      <w:r>
        <w:t xml:space="preserve">the recipe index is reserved for that follow-up.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Full backbone factorial at</w:t>
      </w:r>
      <w:r>
        <w:rPr>
          <w:b/>
          <w:bCs/>
        </w:rPr>
        <w:t xml:space="preserve"> </w:t>
      </w:r>
      <m:oMath>
        <m:r>
          <m:t>Q</m:t>
        </m:r>
        <m:r>
          <m:rPr>
            <m:sty m:val="p"/>
          </m:rPr>
          <m:t>=</m:t>
        </m:r>
        <m:r>
          <m:t>8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only</w:t>
      </w:r>
      <w:r>
        <w:t xml:space="preserve">: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the</w:t>
      </w:r>
      <w:r>
        <w:t xml:space="preserve"> </w:t>
      </w:r>
      <w:r>
        <w:t xml:space="preserve">factorial covers all nineteen recipes on the six labelled scenes</w:t>
      </w:r>
      <w:r>
        <w:t xml:space="preserve"> </w:t>
      </w:r>
      <w:r>
        <w:t xml:space="preserve">under the four backbones, for F-2 (456 cells,</w:t>
      </w:r>
      <w:r>
        <w:t xml:space="preserve"> </w:t>
      </w:r>
      <w:r>
        <w:t xml:space="preserve">Fig. </w:t>
      </w:r>
      <w:hyperlink w:anchor="fig:backbone-factorial">
        <w:r>
          <w:rPr>
            <w:rStyle w:val="Hyperlink"/>
          </w:rPr>
          <w:t xml:space="preserve">7</w:t>
        </w:r>
      </w:hyperlink>
      <w:r>
        <w:t xml:space="preserve">) and F-7 (456 cells,</w:t>
      </w:r>
      <w:r>
        <w:t xml:space="preserve"> </w:t>
      </w:r>
      <w:r>
        <w:t xml:space="preserve">Table </w:t>
      </w:r>
      <w:hyperlink w:anchor="tab:f7-4backbone">
        <w:r>
          <w:rPr>
            <w:rStyle w:val="Hyperlink"/>
          </w:rPr>
          <w:t xml:space="preserve">3</w:t>
        </w:r>
      </w:hyperlink>
      <w:r>
        <w:t xml:space="preserve">).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the HDP, ProdLDA and</w:t>
      </w:r>
      <w:r>
        <w:t xml:space="preserve"> </w:t>
      </w:r>
      <w:r>
        <w:t xml:space="preserve">ETM backbones cover only V2, V8 and V20,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is run under</w:t>
      </w:r>
      <w:r>
        <w:t xml:space="preserve"> </w:t>
      </w:r>
      <w:r>
        <w:t xml:space="preserve">LDA only.</w:t>
      </w:r>
    </w:p>
    <w:bookmarkEnd w:id="92"/>
    <w:bookmarkStart w:id="93" w:name="sec: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A nineteen-recipe sweep of the wordification step, evaluated on the</w:t>
      </w:r>
      <w:r>
        <w:t xml:space="preserve"> </w:t>
      </w:r>
      <w:r>
        <w:t xml:space="preserve">F-1, F-2 and F-7 axes of the twelve-axis framework of the companion</w:t>
      </w:r>
      <w:r>
        <w:t xml:space="preserve"> </w:t>
      </w:r>
      <w:r>
        <w:t xml:space="preserve">paper and on five extension axes, shows that</w:t>
      </w:r>
      <w:r>
        <w:t xml:space="preserve"> </w:t>
      </w:r>
      <w:r>
        <w:rPr>
          <w:i/>
          <w:iCs/>
        </w:rPr>
        <w:t xml:space="preserve">no single recipe is universally best</w:t>
      </w:r>
      <w:r>
        <w:t xml:space="preserve">. On classification (F-1,</w:t>
      </w:r>
      <w:r>
        <w:t xml:space="preserve"> </w:t>
      </w:r>
      <w:hyperlink w:anchor="eq:f1">
        <w:r>
          <w:rPr>
            <w:rStyle w:val="Hyperlink"/>
          </w:rPr>
          <w:t xml:space="preserve">[eq:f1]</w:t>
        </w:r>
      </w:hyperlink>
      <w:r>
        <w:t xml:space="preserve">) the recipes differ consistently but by less than 0.01</w:t>
      </w:r>
      <w:r>
        <w:t xml:space="preserve"> </w:t>
      </w:r>
      <w:r>
        <w:t xml:space="preserve">macro-F1 (V12 leads, §</w:t>
      </w:r>
      <w:hyperlink w:anchor="sec:bayes">
        <w:r>
          <w:rPr>
            <w:rStyle w:val="Hyperlink"/>
          </w:rPr>
          <w:t xml:space="preserve">9</w:t>
        </w:r>
      </w:hyperlink>
      <w:r>
        <w:t xml:space="preserve">); the discriminating axes are coherence (F-2,</w:t>
      </w:r>
      <w:r>
        <w:t xml:space="preserve"> </w:t>
      </w:r>
      <w:hyperlink w:anchor="eq:f2">
        <w:r>
          <w:rPr>
            <w:rStyle w:val="Hyperlink"/>
          </w:rPr>
          <w:t xml:space="preserve">[eq:f2]</w:t>
        </w:r>
      </w:hyperlink>
      <w:r>
        <w:t xml:space="preserve">) and topic–label coupling (F-7,</w:t>
      </w:r>
      <w:r>
        <w:t xml:space="preserve"> </w:t>
      </w:r>
      <w:hyperlink w:anchor="eq:f7">
        <w:r>
          <w:rPr>
            <w:rStyle w:val="Hyperlink"/>
          </w:rPr>
          <w:t xml:space="preserve">[eq:f7]</w:t>
        </w:r>
      </w:hyperlink>
      <w:r>
        <w:t xml:space="preserve">), where</w:t>
      </w:r>
      <w:r>
        <w:t xml:space="preserve"> </w:t>
      </w:r>
      <w:r>
        <w:t xml:space="preserve">the spread between the best and worst recipe mean reaches</w:t>
      </w:r>
      <w:r>
        <w:t xml:space="preserve"> </w:t>
      </w:r>
      <m:oMath>
        <m:r>
          <m:t>0.65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0.43</m:t>
        </m:r>
      </m:oMath>
      <w:r>
        <w:t xml:space="preserve"> </w:t>
      </w:r>
      <w:r>
        <w:t xml:space="preserve">respectively (Tables</w:t>
      </w:r>
      <w:r>
        <w:t xml:space="preserve"> </w:t>
      </w:r>
      <w:hyperlink w:anchor="tab:f2-full">
        <w:r>
          <w:rPr>
            <w:rStyle w:val="Hyperlink"/>
          </w:rPr>
          <w:t xml:space="preserve">[tab:f2-full]</w:t>
        </w:r>
      </w:hyperlink>
      <w:r>
        <w:t xml:space="preserve"> </w:t>
      </w:r>
      <w:r>
        <w:t xml:space="preserve">and</w:t>
      </w:r>
      <w:r>
        <w:t xml:space="preserve"> </w:t>
      </w:r>
      <w:hyperlink w:anchor="tab:f7-full">
        <w:r>
          <w:rPr>
            <w:rStyle w:val="Hyperlink"/>
          </w:rPr>
          <w:t xml:space="preserve">[tab:f7-full]</w:t>
        </w:r>
      </w:hyperlink>
      <w:r>
        <w:t xml:space="preserve">).</w:t>
      </w:r>
      <w:r>
        <w:t xml:space="preserve"> </w:t>
      </w:r>
      <w:r>
        <w:t xml:space="preserve">The same three</w:t>
      </w:r>
      <w:r>
        <w:t xml:space="preserve"> </w:t>
      </w:r>
      <w:r>
        <w:t xml:space="preserve">recipes, V12</w:t>
      </w:r>
      <w:r>
        <w:t xml:space="preserve"> </w:t>
      </w:r>
      <w:hyperlink w:anchor="eq:v12">
        <w:r>
          <w:rPr>
            <w:rStyle w:val="Hyperlink"/>
          </w:rPr>
          <w:t xml:space="preserve">[eq:v12]</w:t>
        </w:r>
      </w:hyperlink>
      <w:r>
        <w:t xml:space="preserve"> </w:t>
      </w:r>
      <w:r>
        <w:t xml:space="preserve">(Gaussian-mixture tokens), V3</w:t>
      </w:r>
      <w:r>
        <w:t xml:space="preserve"> </w:t>
      </w:r>
      <w:hyperlink w:anchor="eq:v3">
        <w:r>
          <w:rPr>
            <w:rStyle w:val="Hyperlink"/>
          </w:rPr>
          <w:t xml:space="preserve">[eq:v3]</w:t>
        </w:r>
      </w:hyperlink>
      <w:r>
        <w:t xml:space="preserve"> </w:t>
      </w:r>
      <w:r>
        <w:t xml:space="preserve">(joint band–bin vocabulary) and V20</w:t>
      </w:r>
      <w:r>
        <w:t xml:space="preserve"> </w:t>
      </w:r>
      <w:hyperlink w:anchor="eq:v20">
        <w:r>
          <w:rPr>
            <w:rStyle w:val="Hyperlink"/>
          </w:rPr>
          <w:t xml:space="preserve">[eq:v20]</w:t>
        </w:r>
      </w:hyperlink>
      <w:r>
        <w:t xml:space="preserve"> </w:t>
      </w:r>
      <w:r>
        <w:t xml:space="preserve">(mutual-information-weighted bands), have the three highest six-scene</w:t>
      </w:r>
      <w:r>
        <w:t xml:space="preserve"> </w:t>
      </w:r>
      <w:r>
        <w:t xml:space="preserve">means on both F-2 and F-7, and on F-7 they lie within</w:t>
      </w:r>
      <w:r>
        <w:t xml:space="preserve"> </w:t>
      </w:r>
      <m:oMath>
        <m:r>
          <m:t>0.014</m:t>
        </m:r>
      </m:oMath>
      <w:r>
        <w:t xml:space="preserve"> </w:t>
      </w:r>
      <w:r>
        <w:t xml:space="preserve">NMI of</w:t>
      </w:r>
      <w:r>
        <w:t xml:space="preserve"> </w:t>
      </w:r>
      <w:r>
        <w:t xml:space="preserve">each other, a flat design-space ceiling rather than a sharp peak.</w:t>
      </w:r>
      <w:r>
        <w:t xml:space="preserve"> </w:t>
      </w:r>
      <w:r>
        <w:t xml:space="preserve">V20, the simplest label-aware reweighting of V3</w:t>
      </w:r>
      <w:r>
        <w:t xml:space="preserve"> </w:t>
      </w:r>
      <w:hyperlink w:anchor="eq:v3">
        <w:r>
          <w:rPr>
            <w:rStyle w:val="Hyperlink"/>
          </w:rPr>
          <w:t xml:space="preserve">[eq:v3]</w:t>
        </w:r>
      </w:hyperlink>
      <w:r>
        <w:t xml:space="preserve">, wins</w:t>
      </w:r>
      <w:r>
        <w:t xml:space="preserve"> </w:t>
      </w:r>
      <w:r>
        <w:t xml:space="preserve">F-2 and F-7 together on Indian Pines (its weights use the labels that</w:t>
      </w:r>
      <w:r>
        <w:t xml:space="preserve"> </w:t>
      </w:r>
      <w:r>
        <w:t xml:space="preserve">F-7 is scored against) and has the highest F-22 of the sweep</w:t>
      </w:r>
      <w:r>
        <w:t xml:space="preserve"> </w:t>
      </w:r>
      <w:r>
        <w:t xml:space="preserve">(</w:t>
      </w:r>
      <w:hyperlink w:anchor="eq:f22">
        <w:r>
          <w:rPr>
            <w:rStyle w:val="Hyperlink"/>
          </w:rPr>
          <w:t xml:space="preserve">[eq:f22]</w:t>
        </w:r>
      </w:hyperlink>
      <w:r>
        <w:t xml:space="preserve">,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26.3</m:t>
        </m:r>
      </m:oMath>
      <w:r>
        <w:t xml:space="preserve">, a count that grows with its longer</w:t>
      </w:r>
      <w:r>
        <w:t xml:space="preserve"> </w:t>
      </w:r>
      <w:r>
        <w:t xml:space="preserve">documents); its F-7 lead grows with quantiser resolution, reaching the</w:t>
      </w:r>
      <w:r>
        <w:t xml:space="preserve"> </w:t>
      </w:r>
      <w:r>
        <w:t xml:space="preserve">highest absolute F-7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32</m:t>
        </m:r>
      </m:oMath>
      <w:r>
        <w:t xml:space="preserve">. The</w:t>
      </w:r>
      <w:r>
        <w:t xml:space="preserve"> </w:t>
      </w:r>
      <w:r>
        <w:t xml:space="preserve">cross-backbone factorial identifies V8</w:t>
      </w:r>
      <w:r>
        <w:t xml:space="preserve"> </w:t>
      </w:r>
      <w:hyperlink w:anchor="eq:v8">
        <w:r>
          <w:rPr>
            <w:rStyle w:val="Hyperlink"/>
          </w:rPr>
          <w:t xml:space="preserve">[eq:v8]</w:t>
        </w:r>
      </w:hyperlink>
      <w:r>
        <w:t xml:space="preserve"> </w:t>
      </w:r>
      <w:r>
        <w:t xml:space="preserve">(NFINDR</w:t>
      </w:r>
      <w:r>
        <w:t xml:space="preserve"> </w:t>
      </w:r>
      <w:r>
        <w:t xml:space="preserve">endmember-fraction) as the most backbone-portable recipe; its F-18</w:t>
      </w:r>
      <w:r>
        <w:t xml:space="preserve"> </w:t>
      </w:r>
      <w:r>
        <w:t xml:space="preserve">values (</w:t>
      </w:r>
      <w:hyperlink w:anchor="eq:f18">
        <w:r>
          <w:rPr>
            <w:rStyle w:val="Hyperlink"/>
          </w:rPr>
          <w:t xml:space="preserve">[eq:f18]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  <m:r>
          <m:t>0.95</m:t>
        </m:r>
      </m:oMath>
      <w:r>
        <w:t xml:space="preserve">) are bounded below by 0.8 through</w:t>
      </w:r>
      <w:r>
        <w:t xml:space="preserve"> </w:t>
      </w:r>
      <w:r>
        <w:t xml:space="preserve">its 6–12-token endmember vocabulary and do not measure reseed</w:t>
      </w:r>
      <w:r>
        <w:t xml:space="preserve"> </w:t>
      </w:r>
      <w:r>
        <w:t xml:space="preserve">reliability. The practical</w:t>
      </w:r>
      <w:r>
        <w:t xml:space="preserve"> </w:t>
      </w:r>
      <w:r>
        <w:t xml:space="preserve">recommendation is twofold: retain V1 as a</w:t>
      </w:r>
      <w:r>
        <w:t xml:space="preserve"> </w:t>
      </w:r>
      <w:r>
        <w:rPr>
          <w:i/>
          <w:iCs/>
        </w:rPr>
        <w:t xml:space="preserve">reproducibility</w:t>
      </w:r>
      <w:r>
        <w:rPr>
          <w:i/>
          <w:iCs/>
        </w:rPr>
        <w:t xml:space="preserve"> </w:t>
      </w:r>
      <w:r>
        <w:rPr>
          <w:i/>
          <w:iCs/>
        </w:rPr>
        <w:t xml:space="preserve">default</w:t>
      </w:r>
      <w:r>
        <w:t xml:space="preserve"> </w:t>
      </w:r>
      <w:r>
        <w:t xml:space="preserve">rather than a universal best, and pick the recipe to the</w:t>
      </w:r>
      <w:r>
        <w:t xml:space="preserve"> </w:t>
      </w:r>
      <w:r>
        <w:t xml:space="preserve">axis: V20 when LDA is fixed and finer quantisation is affordable,</w:t>
      </w:r>
      <w:r>
        <w:t xml:space="preserve"> </w:t>
      </w:r>
      <w:r>
        <w:t xml:space="preserve">V8 when the backbone is uncertain.</w:t>
      </w:r>
      <w:r>
        <w:t xml:space="preserve"> </w:t>
      </w:r>
      <w:r>
        <w:t xml:space="preserve">Closing the remaining framework axes (F-3–F-12) over the full</w:t>
      </w:r>
      <w:r>
        <w:t xml:space="preserve"> </w:t>
      </w:r>
      <w:r>
        <w:t xml:space="preserve">nineteen-recipe family, and building the deferred foundation-model</w:t>
      </w:r>
      <w:r>
        <w:t xml:space="preserve"> </w:t>
      </w:r>
      <w:r>
        <w:t xml:space="preserve">wordification V16, are the natural next steps.</w:t>
      </w:r>
    </w:p>
    <w:bookmarkEnd w:id="93"/>
    <w:bookmarkStart w:id="94" w:name="data-availability"/>
    <w:p>
      <w:pPr>
        <w:pStyle w:val="Heading1"/>
      </w:pPr>
      <w:r>
        <w:t xml:space="preserve">Data availability</w:t>
      </w:r>
    </w:p>
    <w:p>
      <w:pPr>
        <w:pStyle w:val="FirstParagraph"/>
      </w:pPr>
      <w:r>
        <w:t xml:space="preserve">Per-cell results (one JSON record per scene, recipe and quantisation</w:t>
      </w:r>
      <w:r>
        <w:t xml:space="preserve"> </w:t>
      </w:r>
      <w:r>
        <w:t xml:space="preserve">level) are archived in the code repository</w:t>
      </w:r>
      <w:r>
        <w:t xml:space="preserve"> </w:t>
      </w:r>
      <w:hyperlink r:id="rId11">
        <w:r>
          <w:rPr>
            <w:rStyle w:val="Hyperlink"/>
          </w:rPr>
          <w:t xml:space="preserve">https://github.com/fsantibanezleal/CAOS_LDA_HSI</w:t>
        </w:r>
      </w:hyperlink>
      <w:r>
        <w:t xml:space="preserve"> </w:t>
      </w:r>
      <w:r>
        <w:t xml:space="preserve">under</w:t>
      </w:r>
      <w:r>
        <w:t xml:space="preserve"> </w:t>
      </w:r>
      <w:r>
        <w:t xml:space="preserve">: (with the unpaired</w:t>
      </w:r>
      <w:r>
        <w:t xml:space="preserve"> </w:t>
      </w:r>
      <w:r>
        <w:t xml:space="preserve">bootstrap summary in ; the paired</w:t>
      </w:r>
      <w:r>
        <w:t xml:space="preserve"> </w:t>
      </w:r>
      <w:r>
        <w:t xml:space="preserve">comparison of §</w:t>
      </w:r>
      <w:hyperlink w:anchor="sec:bayes">
        <w:r>
          <w:rPr>
            <w:rStyle w:val="Hyperlink"/>
          </w:rPr>
          <w:t xml:space="preserve">9</w:t>
        </w:r>
      </w:hyperlink>
      <w:r>
        <w:t xml:space="preserve"> </w:t>
      </w:r>
      <w:r>
        <w:t xml:space="preserve">and Table </w:t>
      </w:r>
      <w:hyperlink w:anchor="tab:f1-full19">
        <w:r>
          <w:rPr>
            <w:rStyle w:val="Hyperlink"/>
          </w:rPr>
          <w:t xml:space="preserve">[tab:f1-full19]</w:t>
        </w:r>
      </w:hyperlink>
      <w:r>
        <w:t xml:space="preserve"> </w:t>
      </w:r>
      <w:r>
        <w:t xml:space="preserve">are</w:t>
      </w:r>
      <w:r>
        <w:t xml:space="preserve"> </w:t>
      </w:r>
      <w:r>
        <w:t xml:space="preserve">computed from these records by</w:t>
      </w:r>
      <w:r>
        <w:t xml:space="preserve"> </w:t>
      </w:r>
      <w:r>
        <w:t xml:space="preserve">of the manuscript repository),</w:t>
      </w:r>
      <w:r>
        <w:t xml:space="preserve"> </w:t>
      </w:r>
      <w:r>
        <w:t xml:space="preserve">, , ,</w:t>
      </w:r>
      <w:r>
        <w:t xml:space="preserve"> </w:t>
      </w:r>
      <w:r>
        <w:t xml:space="preserve">, ,</w:t>
      </w:r>
      <w:r>
        <w:t xml:space="preserve"> </w:t>
      </w:r>
      <w:r>
        <w:t xml:space="preserve">and for the LDA</w:t>
      </w:r>
      <w:r>
        <w:t xml:space="preserve"> </w:t>
      </w:r>
      <w:r>
        <w:t xml:space="preserve">axes; ,</w:t>
      </w:r>
      <w:r>
        <w:t xml:space="preserve"> </w:t>
      </w:r>
      <w:r>
        <w:t xml:space="preserve">and (F-2) and</w:t>
      </w:r>
      <w:r>
        <w:t xml:space="preserve"> </w:t>
      </w:r>
      <w:r>
        <w:t xml:space="preserve">(F-7) for the backbone factorial. The same folder</w:t>
      </w:r>
      <w:r>
        <w:t xml:space="preserve"> </w:t>
      </w:r>
      <w:r>
        <w:t xml:space="preserve">holds runs on the five HIDSAG subsets </w:t>
      </w:r>
      <w:r>
        <w:t xml:space="preserve">(Ehrenfeld et al. 2023)</w:t>
      </w:r>
      <w:r>
        <w:t xml:space="preserve"> </w:t>
      </w:r>
      <w:r>
        <w:t xml:space="preserve">(: F-2, F-14 and topic-to-owner mutual information for</w:t>
      </w:r>
      <w:r>
        <w:t xml:space="preserve"> </w:t>
      </w:r>
      <w:r>
        <w:t xml:space="preserve">fifteen recipes), which this paper does not analyse.</w:t>
      </w:r>
    </w:p>
    <w:bookmarkEnd w:id="94"/>
    <w:bookmarkStart w:id="160" w:name="app:full-matrix"/>
    <w:p>
      <w:pPr>
        <w:pStyle w:val="Heading1"/>
      </w:pPr>
      <w:r>
        <w:t xml:space="preserve">Full nineteen-recipe F-1, F-2 and F-7 matrices</w:t>
      </w:r>
    </w:p>
    <w:p>
      <w:pPr>
        <w:pStyle w:val="FirstParagraph"/>
      </w:pPr>
      <w:r>
        <w:t xml:space="preserve">Tables </w:t>
      </w:r>
      <w:hyperlink w:anchor="tab:f1-full19">
        <w:r>
          <w:rPr>
            <w:rStyle w:val="Hyperlink"/>
          </w:rPr>
          <w:t xml:space="preserve">[tab:f1-full19]</w:t>
        </w:r>
      </w:hyperlink>
      <w:r>
        <w:t xml:space="preserve">,</w:t>
      </w:r>
      <w:r>
        <w:t xml:space="preserve"> </w:t>
      </w:r>
      <w:hyperlink w:anchor="tab:f2-full19">
        <w:r>
          <w:rPr>
            <w:rStyle w:val="Hyperlink"/>
          </w:rPr>
          <w:t xml:space="preserve">[tab:f2-full19]</w:t>
        </w:r>
      </w:hyperlink>
      <w:r>
        <w:t xml:space="preserve"> </w:t>
      </w:r>
      <w:r>
        <w:t xml:space="preserve">and </w:t>
      </w:r>
      <w:hyperlink w:anchor="tab:f7-full19">
        <w:r>
          <w:rPr>
            <w:rStyle w:val="Hyperlink"/>
          </w:rPr>
          <w:t xml:space="preserve">[tab:f7-full19]</w:t>
        </w:r>
      </w:hyperlink>
      <w:r>
        <w:t xml:space="preserve"> </w:t>
      </w:r>
      <w:r>
        <w:t xml:space="preserve">report F-1 macro-F1, F-2</w:t>
      </w:r>
      <w:r>
        <w:t xml:space="preserve"> </w:t>
      </w:r>
      <m:oMath>
        <m:sSub>
          <m:e>
            <m:r>
              <m:t>c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and F-7 NMI for all nineteen recipes on</w:t>
      </w:r>
      <w:r>
        <w:t xml:space="preserve"> </w:t>
      </w:r>
      <w:r>
        <w:t xml:space="preserve">the six labelled scenes.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Scene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Botswana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0.963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0.966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0.963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0.966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0.963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0.963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Indian Pines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0.861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0.844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0.839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0.839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0.844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Kennedy SC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0.930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Pavia 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0.834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Salinas-A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0.997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0.997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0.997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0.997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0.997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0.997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Salinas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0.956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0.922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0.917</w:t>
            </w:r>
          </w:p>
        </w:tc>
      </w:tr>
    </w:tbl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Scene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Indian Pines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Salinas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Salinas-A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Pavia 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Kennedy SC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Botswana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0.85</w:t>
            </w:r>
          </w:p>
        </w:tc>
      </w:tr>
    </w:tbl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Scene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Indian Pines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Salinas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Salinas-A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Pavia 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0.61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Kennedy SC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Botswana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0.52</w:t>
            </w:r>
          </w:p>
        </w:tc>
      </w:tr>
    </w:tbl>
    <w:bookmarkStart w:id="159" w:name="refs"/>
    <w:bookmarkStart w:id="96" w:name="ref-bioucasdias2012unmixing"/>
    <w:p>
      <w:pPr>
        <w:pStyle w:val="Bibliography"/>
      </w:pPr>
      <w:r>
        <w:t xml:space="preserve">Bioucas-Dias, José M., Antonio Plaza, Nicolas Dobigeon, et al. 2012.</w:t>
      </w:r>
      <w:r>
        <w:t xml:space="preserve"> </w:t>
      </w:r>
      <w:r>
        <w:t xml:space="preserve">“Hyperspectral Unmixing Overview: Geometrical, Statistical, and Sparse Regression-Based Approaches.”</w:t>
      </w:r>
      <w:r>
        <w:t xml:space="preserve"> </w:t>
      </w:r>
      <w:r>
        <w:rPr>
          <w:i/>
          <w:iCs/>
        </w:rPr>
        <w:t xml:space="preserve">IEEE Journal of Selected Topics in Applied Earth Observations and Remote Sensing</w:t>
      </w:r>
      <w:r>
        <w:t xml:space="preserve"> </w:t>
      </w:r>
      <w:r>
        <w:t xml:space="preserve">5 (2): 354–79.</w:t>
      </w:r>
      <w:r>
        <w:t xml:space="preserve"> </w:t>
      </w:r>
      <w:hyperlink r:id="rId95">
        <w:r>
          <w:rPr>
            <w:rStyle w:val="Hyperlink"/>
          </w:rPr>
          <w:t xml:space="preserve">https://doi.org/10.1109/JSTARS.2012.2194696</w:t>
        </w:r>
      </w:hyperlink>
      <w:r>
        <w:t xml:space="preserve">.</w:t>
      </w:r>
    </w:p>
    <w:bookmarkEnd w:id="96"/>
    <w:bookmarkStart w:id="98" w:name="ref-blei2003lda"/>
    <w:p>
      <w:pPr>
        <w:pStyle w:val="Bibliography"/>
      </w:pPr>
      <w:r>
        <w:t xml:space="preserve">Blei, David M., Andrew Y. Ng, and Michael I. Jordan. 2003.</w:t>
      </w:r>
      <w:r>
        <w:t xml:space="preserve"> </w:t>
      </w:r>
      <w:r>
        <w:t xml:space="preserve">“Latent</w:t>
      </w:r>
      <w:r>
        <w:t xml:space="preserve"> </w:t>
      </w:r>
      <w:r>
        <w:t xml:space="preserve">Dirichlet</w:t>
      </w:r>
      <w:r>
        <w:t xml:space="preserve"> </w:t>
      </w:r>
      <w:r>
        <w:t xml:space="preserve">Allocation.”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 </w:t>
      </w:r>
      <w:r>
        <w:t xml:space="preserve">3: 993–1022.</w:t>
      </w:r>
      <w:r>
        <w:t xml:space="preserve"> </w:t>
      </w:r>
      <w:hyperlink r:id="rId97">
        <w:r>
          <w:rPr>
            <w:rStyle w:val="Hyperlink"/>
          </w:rPr>
          <w:t xml:space="preserve">https://jmlr.org/papers/v3/blei03a.html</w:t>
        </w:r>
      </w:hyperlink>
      <w:r>
        <w:t xml:space="preserve">.</w:t>
      </w:r>
    </w:p>
    <w:bookmarkEnd w:id="98"/>
    <w:bookmarkStart w:id="100" w:name="ref-borsoi2021variability"/>
    <w:p>
      <w:pPr>
        <w:pStyle w:val="Bibliography"/>
      </w:pPr>
      <w:r>
        <w:t xml:space="preserve">Borsoi, Ricardo Augusto, Tales Imbiriba, José Carlos Moreira Bermudez, et al. 2021.</w:t>
      </w:r>
      <w:r>
        <w:t xml:space="preserve"> </w:t>
      </w:r>
      <w:r>
        <w:t xml:space="preserve">“Spectral Variability in Hyperspectral Data Unmixing:</w:t>
      </w:r>
      <w:r>
        <w:t xml:space="preserve"> </w:t>
      </w:r>
      <w:r>
        <w:t xml:space="preserve">A</w:t>
      </w:r>
      <w:r>
        <w:t xml:space="preserve"> </w:t>
      </w:r>
      <w:r>
        <w:t xml:space="preserve">Comprehensive Review.”</w:t>
      </w:r>
      <w:r>
        <w:t xml:space="preserve"> </w:t>
      </w:r>
      <w:r>
        <w:rPr>
          <w:i/>
          <w:iCs/>
        </w:rPr>
        <w:t xml:space="preserve">IEEE Geoscience and Remote Sensing Magazine</w:t>
      </w:r>
      <w:r>
        <w:t xml:space="preserve"> </w:t>
      </w:r>
      <w:r>
        <w:t xml:space="preserve">9 (4): 223–70.</w:t>
      </w:r>
      <w:r>
        <w:t xml:space="preserve"> </w:t>
      </w:r>
      <w:hyperlink r:id="rId99">
        <w:r>
          <w:rPr>
            <w:rStyle w:val="Hyperlink"/>
          </w:rPr>
          <w:t xml:space="preserve">https://doi.org/10.1109/MGRS.2021.3071158</w:t>
        </w:r>
      </w:hyperlink>
      <w:r>
        <w:t xml:space="preserve">.</w:t>
      </w:r>
    </w:p>
    <w:bookmarkEnd w:id="100"/>
    <w:bookmarkStart w:id="102" w:name="ref-camps2014advances"/>
    <w:p>
      <w:pPr>
        <w:pStyle w:val="Bibliography"/>
      </w:pPr>
      <w:r>
        <w:t xml:space="preserve">Camps-Valls, Gustavo, Devis Tuia, Lorenzo Bruzzone, and Jón Atli Benediktsson. 2014.</w:t>
      </w:r>
      <w:r>
        <w:t xml:space="preserve"> </w:t>
      </w:r>
      <w:r>
        <w:t xml:space="preserve">“Advances in Hyperspectral Image Classification:</w:t>
      </w:r>
      <w:r>
        <w:t xml:space="preserve"> </w:t>
      </w:r>
      <w:r>
        <w:t xml:space="preserve">Earth</w:t>
      </w:r>
      <w:r>
        <w:t xml:space="preserve"> </w:t>
      </w:r>
      <w:r>
        <w:t xml:space="preserve">Monitoring with Statistical Learning Methods.”</w:t>
      </w:r>
      <w:r>
        <w:t xml:space="preserve"> </w:t>
      </w:r>
      <w:r>
        <w:rPr>
          <w:i/>
          <w:iCs/>
        </w:rPr>
        <w:t xml:space="preserve">IEEE Signal Processing Magazine</w:t>
      </w:r>
      <w:r>
        <w:t xml:space="preserve"> </w:t>
      </w:r>
      <w:r>
        <w:t xml:space="preserve">31 (1): 45–54.</w:t>
      </w:r>
      <w:r>
        <w:t xml:space="preserve"> </w:t>
      </w:r>
      <w:hyperlink r:id="rId101">
        <w:r>
          <w:rPr>
            <w:rStyle w:val="Hyperlink"/>
          </w:rPr>
          <w:t xml:space="preserve">https://doi.org/10.1109/MSP.2013.2279179</w:t>
        </w:r>
      </w:hyperlink>
      <w:r>
        <w:t xml:space="preserve">.</w:t>
      </w:r>
    </w:p>
    <w:bookmarkEnd w:id="102"/>
    <w:bookmarkStart w:id="104" w:name="ref-dieng2020topic"/>
    <w:p>
      <w:pPr>
        <w:pStyle w:val="Bibliography"/>
      </w:pPr>
      <w:r>
        <w:t xml:space="preserve">Dieng, Adji B., Francisco J. R. Ruiz, and David M. Blei. 2020.</w:t>
      </w:r>
      <w:r>
        <w:t xml:space="preserve"> </w:t>
      </w:r>
      <w:r>
        <w:t xml:space="preserve">“Topic Modeling in Embedding Spaces.”</w:t>
      </w:r>
      <w:r>
        <w:t xml:space="preserve"> </w:t>
      </w:r>
      <w:r>
        <w:rPr>
          <w:i/>
          <w:iCs/>
        </w:rPr>
        <w:t xml:space="preserve">Transactions of the Association for Computational Linguistics</w:t>
      </w:r>
      <w:r>
        <w:t xml:space="preserve"> </w:t>
      </w:r>
      <w:r>
        <w:t xml:space="preserve">8: 439–53.</w:t>
      </w:r>
      <w:r>
        <w:t xml:space="preserve"> </w:t>
      </w:r>
      <w:hyperlink r:id="rId103">
        <w:r>
          <w:rPr>
            <w:rStyle w:val="Hyperlink"/>
          </w:rPr>
          <w:t xml:space="preserve">https://doi.org/10.1162/tacl_a_00325</w:t>
        </w:r>
      </w:hyperlink>
      <w:r>
        <w:t xml:space="preserve">.</w:t>
      </w:r>
    </w:p>
    <w:bookmarkEnd w:id="104"/>
    <w:bookmarkStart w:id="106" w:name="ref-hidsag2023"/>
    <w:p>
      <w:pPr>
        <w:pStyle w:val="Bibliography"/>
      </w:pPr>
      <w:r>
        <w:t xml:space="preserve">Ehrenfeld, Alejandro, Álvaro F. Egaña, Felipe Santibañez-Leal, et al. 2023.</w:t>
      </w:r>
      <w:r>
        <w:t xml:space="preserve"> </w:t>
      </w:r>
      <w:r>
        <w:t xml:space="preserve">“</w:t>
      </w:r>
      <w:r>
        <w:t xml:space="preserve">HIDSAG</w:t>
      </w:r>
      <w:r>
        <w:t xml:space="preserve">: Hyperspectral Image Database for Supervised Analysis in Geometallurgy.”</w:t>
      </w:r>
      <w:r>
        <w:t xml:space="preserve"> </w:t>
      </w:r>
      <w:r>
        <w:rPr>
          <w:i/>
          <w:iCs/>
        </w:rPr>
        <w:t xml:space="preserve">Scientific Data</w:t>
      </w:r>
      <w:r>
        <w:t xml:space="preserve"> </w:t>
      </w:r>
      <w:r>
        <w:t xml:space="preserve">10 (1): 164.</w:t>
      </w:r>
      <w:r>
        <w:t xml:space="preserve"> </w:t>
      </w:r>
      <w:hyperlink r:id="rId105">
        <w:r>
          <w:rPr>
            <w:rStyle w:val="Hyperlink"/>
          </w:rPr>
          <w:t xml:space="preserve">https://doi.org/10.1038/s41597-023-02061-x</w:t>
        </w:r>
      </w:hyperlink>
      <w:r>
        <w:t xml:space="preserve">.</w:t>
      </w:r>
    </w:p>
    <w:bookmarkEnd w:id="106"/>
    <w:bookmarkStart w:id="108" w:name="ref-gershogray1992vq"/>
    <w:p>
      <w:pPr>
        <w:pStyle w:val="Bibliography"/>
      </w:pPr>
      <w:r>
        <w:t xml:space="preserve">Gersho, Allen, and Robert M. Gray. 1992.</w:t>
      </w:r>
      <w:r>
        <w:t xml:space="preserve"> </w:t>
      </w:r>
      <w:r>
        <w:rPr>
          <w:i/>
          <w:iCs/>
        </w:rPr>
        <w:t xml:space="preserve">Vector Quantization and Signal Compression</w:t>
      </w:r>
      <w:r>
        <w:t xml:space="preserve">. Vol. 159. The Springer International Series in Engineering and Computer Science. Kluwer Academic Publishers.</w:t>
      </w:r>
      <w:r>
        <w:t xml:space="preserve"> </w:t>
      </w:r>
      <w:hyperlink r:id="rId107">
        <w:r>
          <w:rPr>
            <w:rStyle w:val="Hyperlink"/>
          </w:rPr>
          <w:t xml:space="preserve">https://doi.org/10.1007/978-1-4615-3626-0</w:t>
        </w:r>
      </w:hyperlink>
      <w:r>
        <w:t xml:space="preserve">.</w:t>
      </w:r>
    </w:p>
    <w:bookmarkEnd w:id="108"/>
    <w:bookmarkStart w:id="110" w:name="ref-greene2014topics"/>
    <w:p>
      <w:pPr>
        <w:pStyle w:val="Bibliography"/>
      </w:pPr>
      <w:r>
        <w:t xml:space="preserve">Greene, Derek, Derek O’Callaghan, and Pádraig Cunningham. 2014.</w:t>
      </w:r>
      <w:r>
        <w:t xml:space="preserve"> </w:t>
      </w:r>
      <w:r>
        <w:t xml:space="preserve">“How Many Topics?</w:t>
      </w:r>
      <w:r>
        <w:t xml:space="preserve"> </w:t>
      </w:r>
      <w:r>
        <w:t xml:space="preserve">Stability</w:t>
      </w:r>
      <w:r>
        <w:t xml:space="preserve"> </w:t>
      </w:r>
      <w:r>
        <w:t xml:space="preserve">Analysis for Topic Models.”</w:t>
      </w:r>
      <w:r>
        <w:t xml:space="preserve"> </w:t>
      </w:r>
      <w:r>
        <w:rPr>
          <w:i/>
          <w:iCs/>
        </w:rPr>
        <w:t xml:space="preserve">Joint European Conference on Machine Learning and Knowledge Discovery in Databases (ECML-PKDD)</w:t>
      </w:r>
      <w:r>
        <w:t xml:space="preserve">, Lecture notes in computer science, vol. 8724: 498–513.</w:t>
      </w:r>
      <w:r>
        <w:t xml:space="preserve"> </w:t>
      </w:r>
      <w:hyperlink r:id="rId109">
        <w:r>
          <w:rPr>
            <w:rStyle w:val="Hyperlink"/>
          </w:rPr>
          <w:t xml:space="preserve">https://doi.org/10.1007/978-3-662-44848-9_32</w:t>
        </w:r>
      </w:hyperlink>
      <w:r>
        <w:t xml:space="preserve">.</w:t>
      </w:r>
    </w:p>
    <w:bookmarkEnd w:id="110"/>
    <w:bookmarkStart w:id="112" w:name="ref-griffiths2004finding"/>
    <w:p>
      <w:pPr>
        <w:pStyle w:val="Bibliography"/>
      </w:pPr>
      <w:r>
        <w:t xml:space="preserve">Griffiths, Thomas L., and Mark Steyvers. 2004.</w:t>
      </w:r>
      <w:r>
        <w:t xml:space="preserve"> </w:t>
      </w:r>
      <w:r>
        <w:t xml:space="preserve">“Finding Scientific Topics.”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101 (Suppl. 1): 5228–35.</w:t>
      </w:r>
      <w:r>
        <w:t xml:space="preserve"> </w:t>
      </w:r>
      <w:hyperlink r:id="rId111">
        <w:r>
          <w:rPr>
            <w:rStyle w:val="Hyperlink"/>
          </w:rPr>
          <w:t xml:space="preserve">https://doi.org/10.1073/pnas.0307752101</w:t>
        </w:r>
      </w:hyperlink>
      <w:r>
        <w:t xml:space="preserve">.</w:t>
      </w:r>
    </w:p>
    <w:bookmarkEnd w:id="112"/>
    <w:bookmarkStart w:id="114" w:name="ref-harris2020numpy"/>
    <w:p>
      <w:pPr>
        <w:pStyle w:val="Bibliography"/>
      </w:pPr>
      <w:r>
        <w:t xml:space="preserve">Harris, Charles R., K. Jarrod Millman, Stéfan J. van der Walt, et al.</w:t>
      </w:r>
      <w:r>
        <w:t xml:space="preserve"> 2020.</w:t>
      </w:r>
      <w:r>
        <w:t xml:space="preserve"> </w:t>
      </w:r>
      <w:r>
        <w:t xml:space="preserve">“Array Programming with</w:t>
      </w:r>
      <w:r>
        <w:t xml:space="preserve"> </w:t>
      </w:r>
      <w:r>
        <w:t xml:space="preserve">NumPy</w:t>
      </w:r>
      <w:r>
        <w:t xml:space="preserve">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585: 357–62.</w:t>
      </w:r>
      <w:r>
        <w:t xml:space="preserve"> </w:t>
      </w:r>
      <w:hyperlink r:id="rId113">
        <w:r>
          <w:rPr>
            <w:rStyle w:val="Hyperlink"/>
          </w:rPr>
          <w:t xml:space="preserve">https://doi.org/10.1038/s41586-020-2649-2</w:t>
        </w:r>
      </w:hyperlink>
      <w:r>
        <w:t xml:space="preserve">.</w:t>
      </w:r>
    </w:p>
    <w:bookmarkEnd w:id="114"/>
    <w:bookmarkStart w:id="116" w:name="ref-hoffman2010online"/>
    <w:p>
      <w:pPr>
        <w:pStyle w:val="Bibliography"/>
      </w:pPr>
      <w:r>
        <w:t xml:space="preserve">Hoffman, Matthew D., David M. Blei, and Francis R. Bach. 2010.</w:t>
      </w:r>
      <w:r>
        <w:t xml:space="preserve"> </w:t>
      </w:r>
      <w:r>
        <w:t xml:space="preserve">“Online Learning for Latent</w:t>
      </w:r>
      <w:r>
        <w:t xml:space="preserve"> </w:t>
      </w:r>
      <w:r>
        <w:t xml:space="preserve">Dirichlet</w:t>
      </w:r>
      <w:r>
        <w:t xml:space="preserve"> </w:t>
      </w:r>
      <w:r>
        <w:t xml:space="preserve">Allocation.”</w:t>
      </w:r>
      <w:r>
        <w:t xml:space="preserve"> </w:t>
      </w:r>
      <w:r>
        <w:rPr>
          <w:i/>
          <w:iCs/>
        </w:rPr>
        <w:t xml:space="preserve">Advances in Neural Information Processing Systems 23 (NIPS 2010)</w:t>
      </w:r>
      <w:r>
        <w:t xml:space="preserve">, 856–64.</w:t>
      </w:r>
      <w:r>
        <w:t xml:space="preserve"> </w:t>
      </w:r>
      <w:hyperlink r:id="rId115">
        <w:r>
          <w:rPr>
            <w:rStyle w:val="Hyperlink"/>
          </w:rPr>
          <w:t xml:space="preserve">https://papers.nips.cc/paper/3902-online-learning-for-latent-dirichlet-allocation</w:t>
        </w:r>
      </w:hyperlink>
      <w:r>
        <w:t xml:space="preserve">.</w:t>
      </w:r>
    </w:p>
    <w:bookmarkEnd w:id="116"/>
    <w:bookmarkStart w:id="118" w:name="ref-kingma2014auto"/>
    <w:p>
      <w:pPr>
        <w:pStyle w:val="Bibliography"/>
      </w:pPr>
      <w:r>
        <w:t xml:space="preserve">Kingma, Diederik P., and Max Welling. 2014.</w:t>
      </w:r>
      <w:r>
        <w:t xml:space="preserve"> </w:t>
      </w:r>
      <w:r>
        <w:t xml:space="preserve">“Auto-Encoding Variational</w:t>
      </w:r>
      <w:r>
        <w:t xml:space="preserve"> </w:t>
      </w:r>
      <w:r>
        <w:t xml:space="preserve">Bayes</w:t>
      </w:r>
      <w:r>
        <w:t xml:space="preserve">.”</w:t>
      </w:r>
      <w:r>
        <w:t xml:space="preserve"> </w:t>
      </w:r>
      <w:r>
        <w:rPr>
          <w:i/>
          <w:iCs/>
        </w:rPr>
        <w:t xml:space="preserve">International Conference on Learning Representations (ICLR)</w:t>
      </w:r>
      <w:r>
        <w:t xml:space="preserve">.</w:t>
      </w:r>
      <w:r>
        <w:t xml:space="preserve"> </w:t>
      </w:r>
      <w:hyperlink r:id="rId117">
        <w:r>
          <w:rPr>
            <w:rStyle w:val="Hyperlink"/>
          </w:rPr>
          <w:t xml:space="preserve">https://arxiv.org/abs/1312.6114</w:t>
        </w:r>
      </w:hyperlink>
      <w:r>
        <w:t xml:space="preserve">.</w:t>
      </w:r>
    </w:p>
    <w:bookmarkEnd w:id="118"/>
    <w:bookmarkStart w:id="120" w:name="ref-kuhn1955hungarian"/>
    <w:p>
      <w:pPr>
        <w:pStyle w:val="Bibliography"/>
      </w:pPr>
      <w:r>
        <w:t xml:space="preserve">Kuhn, H. W. 1955.</w:t>
      </w:r>
      <w:r>
        <w:t xml:space="preserve"> </w:t>
      </w:r>
      <w:r>
        <w:t xml:space="preserve">“The</w:t>
      </w:r>
      <w:r>
        <w:t xml:space="preserve"> </w:t>
      </w:r>
      <w:r>
        <w:t xml:space="preserve">Hungarian</w:t>
      </w:r>
      <w:r>
        <w:t xml:space="preserve"> </w:t>
      </w:r>
      <w:r>
        <w:t xml:space="preserve">Method for the Assignment Problem.”</w:t>
      </w:r>
      <w:r>
        <w:t xml:space="preserve"> </w:t>
      </w:r>
      <w:r>
        <w:rPr>
          <w:i/>
          <w:iCs/>
        </w:rPr>
        <w:t xml:space="preserve">Naval Research Logistics Quarterly</w:t>
      </w:r>
      <w:r>
        <w:t xml:space="preserve"> </w:t>
      </w:r>
      <w:r>
        <w:t xml:space="preserve">2 (1–2): 83–97.</w:t>
      </w:r>
      <w:r>
        <w:t xml:space="preserve"> </w:t>
      </w:r>
      <w:hyperlink r:id="rId119">
        <w:r>
          <w:rPr>
            <w:rStyle w:val="Hyperlink"/>
          </w:rPr>
          <w:t xml:space="preserve">https://doi.org/10.1002/nav.3800020109</w:t>
        </w:r>
      </w:hyperlink>
      <w:r>
        <w:t xml:space="preserve">.</w:t>
      </w:r>
    </w:p>
    <w:bookmarkEnd w:id="120"/>
    <w:bookmarkStart w:id="122" w:name="ref-miao2016neural"/>
    <w:p>
      <w:pPr>
        <w:pStyle w:val="Bibliography"/>
      </w:pPr>
      <w:r>
        <w:t xml:space="preserve">Miao, Yishu, Lei Yu, and Phil Blunsom. 2016.</w:t>
      </w:r>
      <w:r>
        <w:t xml:space="preserve"> </w:t>
      </w:r>
      <w:r>
        <w:t xml:space="preserve">“Neural Variational Inference for Text Processing.”</w:t>
      </w:r>
      <w:r>
        <w:t xml:space="preserve"> </w:t>
      </w:r>
      <w:r>
        <w:rPr>
          <w:i/>
          <w:iCs/>
        </w:rPr>
        <w:t xml:space="preserve">International Conference on Machine Learning (ICML)</w:t>
      </w:r>
      <w:r>
        <w:t xml:space="preserve">, 1727–36.</w:t>
      </w:r>
      <w:r>
        <w:t xml:space="preserve"> </w:t>
      </w:r>
      <w:hyperlink r:id="rId121">
        <w:r>
          <w:rPr>
            <w:rStyle w:val="Hyperlink"/>
          </w:rPr>
          <w:t xml:space="preserve">http://proceedings.mlr.press/v48/miao16.html</w:t>
        </w:r>
      </w:hyperlink>
      <w:r>
        <w:t xml:space="preserve">.</w:t>
      </w:r>
    </w:p>
    <w:bookmarkEnd w:id="122"/>
    <w:bookmarkStart w:id="124" w:name="ref-mimno2011coherence"/>
    <w:p>
      <w:pPr>
        <w:pStyle w:val="Bibliography"/>
      </w:pPr>
      <w:r>
        <w:t xml:space="preserve">Mimno, David, Hanna M. Wallach, Edmund Talley, Miriam Leenders, and Andrew McCallum. 2011.</w:t>
      </w:r>
      <w:r>
        <w:t xml:space="preserve"> </w:t>
      </w:r>
      <w:r>
        <w:t xml:space="preserve">“Optimizing Semantic Coherence in Topic Models.”</w:t>
      </w:r>
      <w:r>
        <w:t xml:space="preserve"> </w:t>
      </w:r>
      <w:r>
        <w:rPr>
          <w:i/>
          <w:iCs/>
        </w:rPr>
        <w:t xml:space="preserve">Proceedings of the 2011 Conference on Empirical Methods in Natural Language Processing (EMNLP)</w:t>
      </w:r>
      <w:r>
        <w:t xml:space="preserve">, 262–72.</w:t>
      </w:r>
      <w:r>
        <w:t xml:space="preserve"> </w:t>
      </w:r>
      <w:hyperlink r:id="rId123">
        <w:r>
          <w:rPr>
            <w:rStyle w:val="Hyperlink"/>
          </w:rPr>
          <w:t xml:space="preserve">https://aclanthology.org/D11-1024/</w:t>
        </w:r>
      </w:hyperlink>
      <w:r>
        <w:t xml:space="preserve">.</w:t>
      </w:r>
    </w:p>
    <w:bookmarkEnd w:id="124"/>
    <w:bookmarkStart w:id="126" w:name="ref-munkres1957algorithms"/>
    <w:p>
      <w:pPr>
        <w:pStyle w:val="Bibliography"/>
      </w:pPr>
      <w:r>
        <w:t xml:space="preserve">Munkres, James. 1957.</w:t>
      </w:r>
      <w:r>
        <w:t xml:space="preserve"> </w:t>
      </w:r>
      <w:r>
        <w:t xml:space="preserve">“Algorithms for the Assignment and Transportation Problems.”</w:t>
      </w:r>
      <w:r>
        <w:t xml:space="preserve"> </w:t>
      </w:r>
      <w:r>
        <w:rPr>
          <w:i/>
          <w:iCs/>
        </w:rPr>
        <w:t xml:space="preserve">Journal of the Society for Industrial and Applied Mathematics</w:t>
      </w:r>
      <w:r>
        <w:t xml:space="preserve"> </w:t>
      </w:r>
      <w:r>
        <w:t xml:space="preserve">5 (1): 32–38.</w:t>
      </w:r>
      <w:r>
        <w:t xml:space="preserve"> </w:t>
      </w:r>
      <w:hyperlink r:id="rId125">
        <w:r>
          <w:rPr>
            <w:rStyle w:val="Hyperlink"/>
          </w:rPr>
          <w:t xml:space="preserve">https://doi.org/10.1137/0105003</w:t>
        </w:r>
      </w:hyperlink>
      <w:r>
        <w:t xml:space="preserve">.</w:t>
      </w:r>
    </w:p>
    <w:bookmarkEnd w:id="126"/>
    <w:bookmarkStart w:id="128" w:name="ref-nascimento2005vca"/>
    <w:p>
      <w:pPr>
        <w:pStyle w:val="Bibliography"/>
      </w:pPr>
      <w:r>
        <w:t xml:space="preserve">Nascimento, José M. P., and José M. Bioucas-Dias. 2005.</w:t>
      </w:r>
      <w:r>
        <w:t xml:space="preserve"> </w:t>
      </w:r>
      <w:r>
        <w:t xml:space="preserve">“Vertex Component Analysis:</w:t>
      </w:r>
      <w:r>
        <w:t xml:space="preserve"> </w:t>
      </w:r>
      <w:r>
        <w:t xml:space="preserve">A</w:t>
      </w:r>
      <w:r>
        <w:t xml:space="preserve"> </w:t>
      </w:r>
      <w:r>
        <w:t xml:space="preserve">Fast Algorithm to Unmix Hyperspectral Data.”</w:t>
      </w:r>
      <w:r>
        <w:t xml:space="preserve"> </w:t>
      </w:r>
      <w:r>
        <w:rPr>
          <w:i/>
          <w:iCs/>
        </w:rPr>
        <w:t xml:space="preserve">IEEE Transactions on Geoscience and Remote Sensing</w:t>
      </w:r>
      <w:r>
        <w:t xml:space="preserve"> </w:t>
      </w:r>
      <w:r>
        <w:t xml:space="preserve">43 (4): 898–910.</w:t>
      </w:r>
      <w:r>
        <w:t xml:space="preserve"> </w:t>
      </w:r>
      <w:hyperlink r:id="rId127">
        <w:r>
          <w:rPr>
            <w:rStyle w:val="Hyperlink"/>
          </w:rPr>
          <w:t xml:space="preserve">https://doi.org/10.1109/TGRS.2005.844293</w:t>
        </w:r>
      </w:hyperlink>
      <w:r>
        <w:t xml:space="preserve">.</w:t>
      </w:r>
    </w:p>
    <w:bookmarkEnd w:id="128"/>
    <w:bookmarkStart w:id="130" w:name="ref-newman2010coherence"/>
    <w:p>
      <w:pPr>
        <w:pStyle w:val="Bibliography"/>
      </w:pPr>
      <w:r>
        <w:t xml:space="preserve">Newman, David, Jey Han Lau, Karl Grieser, and Timothy Baldwin. 2010.</w:t>
      </w:r>
      <w:r>
        <w:t xml:space="preserve"> </w:t>
      </w:r>
      <w:r>
        <w:t xml:space="preserve">“Automatic Evaluation of Topic Coherence.”</w:t>
      </w:r>
      <w:r>
        <w:t xml:space="preserve"> </w:t>
      </w:r>
      <w:r>
        <w:rPr>
          <w:i/>
          <w:iCs/>
        </w:rPr>
        <w:t xml:space="preserve">Human Language Technologies: The 2010 Annual Conference of the North American Chapter of the Association for Computational Linguistics (NAACL-HLT)</w:t>
      </w:r>
      <w:r>
        <w:t xml:space="preserve">, 100–108.</w:t>
      </w:r>
      <w:r>
        <w:t xml:space="preserve"> </w:t>
      </w:r>
      <w:hyperlink r:id="rId129">
        <w:r>
          <w:rPr>
            <w:rStyle w:val="Hyperlink"/>
          </w:rPr>
          <w:t xml:space="preserve">https://aclanthology.org/N10-1012/</w:t>
        </w:r>
      </w:hyperlink>
      <w:r>
        <w:t xml:space="preserve">.</w:t>
      </w:r>
    </w:p>
    <w:bookmarkEnd w:id="130"/>
    <w:bookmarkStart w:id="132" w:name="ref-pedregosa2011scikit"/>
    <w:p>
      <w:pPr>
        <w:pStyle w:val="Bibliography"/>
      </w:pPr>
      <w:r>
        <w:t xml:space="preserve">Pedregosa, F., G. Varoquaux, A. Gramfort, et al. 2011.</w:t>
      </w:r>
      <w:r>
        <w:t xml:space="preserve"> </w:t>
      </w:r>
      <w:r>
        <w:t xml:space="preserve">“Scikit-Learn: Machine Learning in</w:t>
      </w:r>
      <w:r>
        <w:t xml:space="preserve"> </w:t>
      </w:r>
      <w:r>
        <w:t xml:space="preserve">Python</w:t>
      </w:r>
      <w:r>
        <w:t xml:space="preserve">.”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 </w:t>
      </w:r>
      <w:r>
        <w:t xml:space="preserve">12: 2825–30.</w:t>
      </w:r>
      <w:r>
        <w:t xml:space="preserve"> </w:t>
      </w:r>
      <w:hyperlink r:id="rId131">
        <w:r>
          <w:rPr>
            <w:rStyle w:val="Hyperlink"/>
          </w:rPr>
          <w:t xml:space="preserve">https://jmlr.org/papers/v12/pedregosa11a.html</w:t>
        </w:r>
      </w:hyperlink>
      <w:r>
        <w:t xml:space="preserve">.</w:t>
      </w:r>
    </w:p>
    <w:bookmarkEnd w:id="132"/>
    <w:bookmarkStart w:id="134" w:name="ref-pineau2021nature"/>
    <w:p>
      <w:pPr>
        <w:pStyle w:val="Bibliography"/>
      </w:pPr>
      <w:r>
        <w:t xml:space="preserve">Pineau, Joelle, Philippe Vincent-Lamarre, Koustuv Sinha, et al.</w:t>
      </w:r>
      <w:r>
        <w:t xml:space="preserve"> 2021.</w:t>
      </w:r>
      <w:r>
        <w:t xml:space="preserve"> </w:t>
      </w:r>
      <w:r>
        <w:t xml:space="preserve">“Improving Reproducibility in Machine Learning Research (a Report from the</w:t>
      </w:r>
      <w:r>
        <w:t xml:space="preserve"> </w:t>
      </w:r>
      <w:r>
        <w:t xml:space="preserve">NeurIPS</w:t>
      </w:r>
      <w:r>
        <w:t xml:space="preserve"> </w:t>
      </w:r>
      <w:r>
        <w:t xml:space="preserve">2019 Reproducibility Program).”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 </w:t>
      </w:r>
      <w:r>
        <w:t xml:space="preserve">22 (164): 1–20.</w:t>
      </w:r>
      <w:r>
        <w:t xml:space="preserve"> </w:t>
      </w:r>
      <w:hyperlink r:id="rId133">
        <w:r>
          <w:rPr>
            <w:rStyle w:val="Hyperlink"/>
          </w:rPr>
          <w:t xml:space="preserve">https://jmlr.org/papers/v22/20-303.html</w:t>
        </w:r>
      </w:hyperlink>
      <w:r>
        <w:t xml:space="preserve">.</w:t>
      </w:r>
    </w:p>
    <w:bookmarkEnd w:id="134"/>
    <w:bookmarkStart w:id="136" w:name="ref-plaza2009recent"/>
    <w:p>
      <w:pPr>
        <w:pStyle w:val="Bibliography"/>
      </w:pPr>
      <w:r>
        <w:t xml:space="preserve">Plaza, Antonio, Jon Atli Benediktsson, Joseph W. Boardman, et al. 2009.</w:t>
      </w:r>
      <w:r>
        <w:t xml:space="preserve"> </w:t>
      </w:r>
      <w:r>
        <w:t xml:space="preserve">“Recent Advances in Techniques for Hyperspectral Image Processing.”</w:t>
      </w:r>
      <w:r>
        <w:t xml:space="preserve"> </w:t>
      </w:r>
      <w:r>
        <w:rPr>
          <w:i/>
          <w:iCs/>
        </w:rPr>
        <w:t xml:space="preserve">Remote Sensing of Environment</w:t>
      </w:r>
      <w:r>
        <w:t xml:space="preserve"> </w:t>
      </w:r>
      <w:r>
        <w:t xml:space="preserve">113 (Supplement 1): S110–22.</w:t>
      </w:r>
      <w:r>
        <w:t xml:space="preserve"> </w:t>
      </w:r>
      <w:hyperlink r:id="rId135">
        <w:r>
          <w:rPr>
            <w:rStyle w:val="Hyperlink"/>
          </w:rPr>
          <w:t xml:space="preserve">https://doi.org/10.1016/j.rse.2007.07.028</w:t>
        </w:r>
      </w:hyperlink>
      <w:r>
        <w:t xml:space="preserve">.</w:t>
      </w:r>
    </w:p>
    <w:bookmarkEnd w:id="136"/>
    <w:bookmarkStart w:id="138" w:name="ref-rehurek2010gensim"/>
    <w:p>
      <w:pPr>
        <w:pStyle w:val="Bibliography"/>
      </w:pPr>
      <w:r>
        <w:t xml:space="preserve">Řehůřek, Radim, and Petr Sojka. 2010.</w:t>
      </w:r>
      <w:r>
        <w:t xml:space="preserve"> </w:t>
      </w:r>
      <w:r>
        <w:t xml:space="preserve">“Software Framework for Topic Modelling with Large Corpora.”</w:t>
      </w:r>
      <w:r>
        <w:t xml:space="preserve"> </w:t>
      </w:r>
      <w:r>
        <w:rPr>
          <w:i/>
          <w:iCs/>
        </w:rPr>
        <w:t xml:space="preserve">Proceedings of the LREC 2010 Workshop on New Challenges for NLP Frameworks</w:t>
      </w:r>
      <w:r>
        <w:t xml:space="preserve">, 45–50.</w:t>
      </w:r>
      <w:r>
        <w:t xml:space="preserve"> </w:t>
      </w:r>
      <w:hyperlink r:id="rId137">
        <w:r>
          <w:rPr>
            <w:rStyle w:val="Hyperlink"/>
          </w:rPr>
          <w:t xml:space="preserve">http://is.muni.cz/publication/884893/en</w:t>
        </w:r>
      </w:hyperlink>
      <w:r>
        <w:t xml:space="preserve">.</w:t>
      </w:r>
    </w:p>
    <w:bookmarkEnd w:id="138"/>
    <w:bookmarkStart w:id="140" w:name="ref-roder2015exploring"/>
    <w:p>
      <w:pPr>
        <w:pStyle w:val="Bibliography"/>
      </w:pPr>
      <w:r>
        <w:t xml:space="preserve">Röder, Michael, Andreas Both, and Alexander Hinneburg. 2015.</w:t>
      </w:r>
      <w:r>
        <w:t xml:space="preserve"> </w:t>
      </w:r>
      <w:r>
        <w:t xml:space="preserve">“Exploring the Space of Topic Coherence Measures.”</w:t>
      </w:r>
      <w:r>
        <w:t xml:space="preserve"> </w:t>
      </w:r>
      <w:r>
        <w:rPr>
          <w:i/>
          <w:iCs/>
        </w:rPr>
        <w:t xml:space="preserve">Proceedings of the Eighth ACM International Conference on Web Search and Data Mining (WSDM)</w:t>
      </w:r>
      <w:r>
        <w:t xml:space="preserve">, 399–408.</w:t>
      </w:r>
      <w:r>
        <w:t xml:space="preserve"> </w:t>
      </w:r>
      <w:hyperlink r:id="rId139">
        <w:r>
          <w:rPr>
            <w:rStyle w:val="Hyperlink"/>
          </w:rPr>
          <w:t xml:space="preserve">https://doi.org/10.1145/2684822.2685324</w:t>
        </w:r>
      </w:hyperlink>
      <w:r>
        <w:t xml:space="preserve">.</w:t>
      </w:r>
    </w:p>
    <w:bookmarkEnd w:id="140"/>
    <w:bookmarkStart w:id="142" w:name="ref-santibanezleal2022procemin"/>
    <w:p>
      <w:pPr>
        <w:pStyle w:val="Bibliography"/>
      </w:pPr>
      <w:r>
        <w:t xml:space="preserve">Santibañez-Leal, Felipe A., Álvaro F. Egaña, Alejandro Ehrenfeld, Felipe Navarro, and Brian Townley. 2022.</w:t>
      </w:r>
      <w:r>
        <w:t xml:space="preserve"> </w:t>
      </w:r>
      <w:r>
        <w:t xml:space="preserve">“Geometallurgical Estimation of Mineral Samples from Hyperspectral Images and Statistical Topic Modelling.”</w:t>
      </w:r>
      <w:r>
        <w:t xml:space="preserve"> </w:t>
      </w:r>
      <w:r>
        <w:rPr>
          <w:i/>
          <w:iCs/>
        </w:rPr>
        <w:t xml:space="preserve">Proceedings of the 18th International Conference on Mineral Processing and Geometallurgy (Procemin Geomet 2022)</w:t>
      </w:r>
      <w:r>
        <w:t xml:space="preserve"> </w:t>
      </w:r>
      <w:r>
        <w:t xml:space="preserve">(Santiago, Chile).</w:t>
      </w:r>
      <w:r>
        <w:t xml:space="preserve"> </w:t>
      </w:r>
      <w:hyperlink r:id="rId141">
        <w:r>
          <w:rPr>
            <w:rStyle w:val="Hyperlink"/>
          </w:rPr>
          <w:t xml:space="preserve">https://www.researchgate.net/publication/369708272</w:t>
        </w:r>
      </w:hyperlink>
      <w:r>
        <w:t xml:space="preserve">.</w:t>
      </w:r>
    </w:p>
    <w:bookmarkEnd w:id="142"/>
    <w:bookmarkStart w:id="144" w:name="ref-santibanezleal2026framework"/>
    <w:p>
      <w:pPr>
        <w:pStyle w:val="Bibliography"/>
      </w:pPr>
      <w:r>
        <w:t xml:space="preserve">Santibáñez-Leal, Felipe. 2026.</w:t>
      </w:r>
      <w:r>
        <w:t xml:space="preserve"> </w:t>
      </w:r>
      <w:r>
        <w:rPr>
          <w:i/>
          <w:iCs/>
        </w:rPr>
        <w:t xml:space="preserve">Beyond Accuracy: A Multi-Axis Evaluation Framework for Interpretable Topic Models on Hyperspectral Imagery</w:t>
      </w:r>
      <w:r>
        <w:t xml:space="preserve">. Preprint, Zenodo.</w:t>
      </w:r>
      <w:r>
        <w:t xml:space="preserve"> </w:t>
      </w:r>
      <w:hyperlink r:id="rId143">
        <w:r>
          <w:rPr>
            <w:rStyle w:val="Hyperlink"/>
          </w:rPr>
          <w:t xml:space="preserve">https://doi.org/10.5281/zenodo.21504115</w:t>
        </w:r>
      </w:hyperlink>
      <w:r>
        <w:t xml:space="preserve">.</w:t>
      </w:r>
    </w:p>
    <w:bookmarkEnd w:id="144"/>
    <w:bookmarkStart w:id="146" w:name="ref-srivastava2017autoencoding"/>
    <w:p>
      <w:pPr>
        <w:pStyle w:val="Bibliography"/>
      </w:pPr>
      <w:r>
        <w:t xml:space="preserve">Srivastava, Akash, and Charles Sutton. 2017.</w:t>
      </w:r>
      <w:r>
        <w:t xml:space="preserve"> </w:t>
      </w:r>
      <w:r>
        <w:t xml:space="preserve">“Autoencoding Variational Inference for Topic Models.”</w:t>
      </w:r>
      <w:r>
        <w:t xml:space="preserve"> </w:t>
      </w:r>
      <w:r>
        <w:rPr>
          <w:i/>
          <w:iCs/>
        </w:rPr>
        <w:t xml:space="preserve">International Conference on Learning Representations (ICLR)</w:t>
      </w:r>
      <w:r>
        <w:t xml:space="preserve">.</w:t>
      </w:r>
      <w:r>
        <w:t xml:space="preserve"> </w:t>
      </w:r>
      <w:hyperlink r:id="rId145">
        <w:r>
          <w:rPr>
            <w:rStyle w:val="Hyperlink"/>
          </w:rPr>
          <w:t xml:space="preserve">https://openreview.net/forum?id=BybtVK9lg</w:t>
        </w:r>
      </w:hyperlink>
      <w:r>
        <w:t xml:space="preserve">.</w:t>
      </w:r>
    </w:p>
    <w:bookmarkEnd w:id="146"/>
    <w:bookmarkStart w:id="148" w:name="ref-taddy2012estimation"/>
    <w:p>
      <w:pPr>
        <w:pStyle w:val="Bibliography"/>
      </w:pPr>
      <w:r>
        <w:t xml:space="preserve">Taddy, Matt. 2012.</w:t>
      </w:r>
      <w:r>
        <w:t xml:space="preserve"> </w:t>
      </w:r>
      <w:r>
        <w:t xml:space="preserve">“On Estimation and Selection for Topic Models.”</w:t>
      </w:r>
      <w:r>
        <w:t xml:space="preserve"> </w:t>
      </w:r>
      <w:r>
        <w:rPr>
          <w:i/>
          <w:iCs/>
        </w:rPr>
        <w:t xml:space="preserve">Proceedings of the Fifteenth International Conference on Artificial Intelligence and Statistics</w:t>
      </w:r>
      <w:r>
        <w:t xml:space="preserve">, 1184–93.</w:t>
      </w:r>
      <w:r>
        <w:t xml:space="preserve"> </w:t>
      </w:r>
      <w:hyperlink r:id="rId147">
        <w:r>
          <w:rPr>
            <w:rStyle w:val="Hyperlink"/>
          </w:rPr>
          <w:t xml:space="preserve">http://proceedings.mlr.press/v22/taddy12.html</w:t>
        </w:r>
      </w:hyperlink>
      <w:r>
        <w:t xml:space="preserve">.</w:t>
      </w:r>
    </w:p>
    <w:bookmarkEnd w:id="148"/>
    <w:bookmarkStart w:id="150" w:name="ref-teh2006hdp"/>
    <w:p>
      <w:pPr>
        <w:pStyle w:val="Bibliography"/>
      </w:pPr>
      <w:r>
        <w:t xml:space="preserve">Teh, Yee Whye, Michael I. Jordan, Matthew J. Beal, and David M. Blei. 2006.</w:t>
      </w:r>
      <w:r>
        <w:t xml:space="preserve"> </w:t>
      </w:r>
      <w:r>
        <w:t xml:space="preserve">“Hierarchical</w:t>
      </w:r>
      <w:r>
        <w:t xml:space="preserve"> </w:t>
      </w:r>
      <w:r>
        <w:t xml:space="preserve">Dirichlet</w:t>
      </w:r>
      <w:r>
        <w:t xml:space="preserve"> </w:t>
      </w:r>
      <w:r>
        <w:t xml:space="preserve">Processes.”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101 (476): 1566–81.</w:t>
      </w:r>
      <w:r>
        <w:t xml:space="preserve"> </w:t>
      </w:r>
      <w:hyperlink r:id="rId149">
        <w:r>
          <w:rPr>
            <w:rStyle w:val="Hyperlink"/>
          </w:rPr>
          <w:t xml:space="preserve">https://doi.org/10.1198/016214506000000302</w:t>
        </w:r>
      </w:hyperlink>
      <w:r>
        <w:t xml:space="preserve">.</w:t>
      </w:r>
    </w:p>
    <w:bookmarkEnd w:id="150"/>
    <w:bookmarkStart w:id="152" w:name="ref-vinh2010information"/>
    <w:p>
      <w:pPr>
        <w:pStyle w:val="Bibliography"/>
      </w:pPr>
      <w:r>
        <w:t xml:space="preserve">Vinh, Nguyen Xuan, Julien Epps, and James Bailey. 2010.</w:t>
      </w:r>
      <w:r>
        <w:t xml:space="preserve"> </w:t>
      </w:r>
      <w:r>
        <w:t xml:space="preserve">“Information Theoretic Measures for Clusterings Comparison: Variants, Properties, Normalization and Correction for Chance.”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 </w:t>
      </w:r>
      <w:r>
        <w:t xml:space="preserve">11: 2837–54.</w:t>
      </w:r>
      <w:r>
        <w:t xml:space="preserve"> </w:t>
      </w:r>
      <w:hyperlink r:id="rId151">
        <w:r>
          <w:rPr>
            <w:rStyle w:val="Hyperlink"/>
          </w:rPr>
          <w:t xml:space="preserve">https://jmlr.org/papers/v11/vinh10a.html</w:t>
        </w:r>
      </w:hyperlink>
      <w:r>
        <w:t xml:space="preserve">.</w:t>
      </w:r>
    </w:p>
    <w:bookmarkEnd w:id="152"/>
    <w:bookmarkStart w:id="154" w:name="ref-virtanen2020scipy"/>
    <w:p>
      <w:pPr>
        <w:pStyle w:val="Bibliography"/>
      </w:pPr>
      <w:r>
        <w:t xml:space="preserve">Virtanen, Pauli, Ralf Gommers, Travis E. Oliphant, et al.</w:t>
      </w:r>
      <w:r>
        <w:t xml:space="preserve"> 2020.</w:t>
      </w:r>
      <w:r>
        <w:t xml:space="preserve"> </w:t>
      </w:r>
      <w:r>
        <w:t xml:space="preserve">“</w:t>
      </w:r>
      <w:r>
        <w:t xml:space="preserve">SciPy</w:t>
      </w:r>
      <w:r>
        <w:t xml:space="preserve"> </w:t>
      </w:r>
      <w:r>
        <w:t xml:space="preserve">1.0: Fundamental Algorithms for Scientific Computing in</w:t>
      </w:r>
      <w:r>
        <w:t xml:space="preserve"> </w:t>
      </w:r>
      <w:r>
        <w:t xml:space="preserve">Python</w:t>
      </w:r>
      <w:r>
        <w:t xml:space="preserve">.”</w:t>
      </w:r>
      <w:r>
        <w:t xml:space="preserve"> </w:t>
      </w:r>
      <w:r>
        <w:rPr>
          <w:i/>
          <w:iCs/>
        </w:rPr>
        <w:t xml:space="preserve">Nature Methods</w:t>
      </w:r>
      <w:r>
        <w:t xml:space="preserve"> </w:t>
      </w:r>
      <w:r>
        <w:t xml:space="preserve">17 (3): 261–72.</w:t>
      </w:r>
      <w:r>
        <w:t xml:space="preserve"> </w:t>
      </w:r>
      <w:hyperlink r:id="rId153">
        <w:r>
          <w:rPr>
            <w:rStyle w:val="Hyperlink"/>
          </w:rPr>
          <w:t xml:space="preserve">https://doi.org/10.1038/s41592-019-0686-2</w:t>
        </w:r>
      </w:hyperlink>
      <w:r>
        <w:t xml:space="preserve">.</w:t>
      </w:r>
    </w:p>
    <w:bookmarkEnd w:id="154"/>
    <w:bookmarkStart w:id="156" w:name="ref-wahabzada2015plant"/>
    <w:p>
      <w:pPr>
        <w:pStyle w:val="Bibliography"/>
      </w:pPr>
      <w:r>
        <w:t xml:space="preserve">Wahabzada, Mirwaes, Anne-Katrin Mahlein, Christian Bauckhage, Ulrike Steiner, Erich-Christian Oerke, and Kristian Kersting. 2016.</w:t>
      </w:r>
      <w:r>
        <w:t xml:space="preserve"> </w:t>
      </w:r>
      <w:r>
        <w:t xml:space="preserve">“Plant Phenotyping Using Probabilistic Topic Models: Uncovering the Hyperspectral Language of Plants.”</w:t>
      </w:r>
      <w:r>
        <w:t xml:space="preserve"> </w:t>
      </w:r>
      <w:r>
        <w:rPr>
          <w:i/>
          <w:iCs/>
        </w:rPr>
        <w:t xml:space="preserve">Scientific Reports</w:t>
      </w:r>
      <w:r>
        <w:t xml:space="preserve"> </w:t>
      </w:r>
      <w:r>
        <w:t xml:space="preserve">6: 22482.</w:t>
      </w:r>
      <w:r>
        <w:t xml:space="preserve"> </w:t>
      </w:r>
      <w:hyperlink r:id="rId155">
        <w:r>
          <w:rPr>
            <w:rStyle w:val="Hyperlink"/>
          </w:rPr>
          <w:t xml:space="preserve">https://doi.org/10.1038/srep22482</w:t>
        </w:r>
      </w:hyperlink>
      <w:r>
        <w:t xml:space="preserve">.</w:t>
      </w:r>
    </w:p>
    <w:bookmarkEnd w:id="156"/>
    <w:bookmarkStart w:id="158" w:name="ref-zou2017pmlda"/>
    <w:p>
      <w:pPr>
        <w:pStyle w:val="Bibliography"/>
      </w:pPr>
      <w:r>
        <w:t xml:space="preserve">Zou, Sheng, and Alina Zare. 2017.</w:t>
      </w:r>
      <w:r>
        <w:t xml:space="preserve"> </w:t>
      </w:r>
      <w:r>
        <w:t xml:space="preserve">“Hyperspectral Unmixing with Endmember Variability Using Partial Membership Latent</w:t>
      </w:r>
      <w:r>
        <w:t xml:space="preserve"> </w:t>
      </w:r>
      <w:r>
        <w:t xml:space="preserve">Dirichlet</w:t>
      </w:r>
      <w:r>
        <w:t xml:space="preserve"> </w:t>
      </w:r>
      <w:r>
        <w:t xml:space="preserve">Allocation.”</w:t>
      </w:r>
      <w:r>
        <w:t xml:space="preserve"> </w:t>
      </w:r>
      <w:r>
        <w:rPr>
          <w:i/>
          <w:iCs/>
        </w:rPr>
        <w:t xml:space="preserve">Proc. IEEE Int. Conf. Acoust., Speech, Signal Process. (ICASSP)</w:t>
      </w:r>
      <w:r>
        <w:t xml:space="preserve">, 6200–6204.</w:t>
      </w:r>
      <w:r>
        <w:t xml:space="preserve"> </w:t>
      </w:r>
      <w:hyperlink r:id="rId157">
        <w:r>
          <w:rPr>
            <w:rStyle w:val="Hyperlink"/>
          </w:rPr>
          <w:t xml:space="preserve">https://doi.org/10.1109/ICASSP.2017.7953348</w:t>
        </w:r>
      </w:hyperlink>
      <w:r>
        <w:t xml:space="preserve">.</w:t>
      </w:r>
    </w:p>
    <w:bookmarkEnd w:id="158"/>
    <w:bookmarkEnd w:id="159"/>
    <w:bookmarkEnd w:id="1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F. Santibáñez-Leal is with the CAOS open-research</w:t>
      </w:r>
      <w:r>
        <w:t xml:space="preserve"> </w:t>
      </w:r>
      <w:r>
        <w:t xml:space="preserve">programme, Santiago, Chile</w:t>
      </w:r>
      <w:r>
        <w:t xml:space="preserve"> </w:t>
      </w:r>
      <w:r>
        <w:t xml:space="preserve">(e-mail:</w:t>
      </w:r>
      <w:r>
        <w:t xml:space="preserve"> </w:t>
      </w:r>
      <w:r>
        <w:rPr>
          <w:rStyle w:val="VerbatimChar"/>
        </w:rPr>
        <w:t xml:space="preserve">fsantibanezleal@ug.uchile.cl</w:t>
      </w:r>
      <w:r>
        <w:t xml:space="preserve">;</w:t>
      </w:r>
      <w:r>
        <w:t xml:space="preserve"> </w:t>
      </w:r>
      <w:r>
        <w:t xml:space="preserve">ORCID: 0000-0002-0150-3246).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The twelve-axis evaluation framework, the dataset panel and</w:t>
      </w:r>
      <w:r>
        <w:t xml:space="preserve"> </w:t>
      </w:r>
      <w:r>
        <w:t xml:space="preserve">the canonical V1 fit are those of the companion framework paper,</w:t>
      </w:r>
      <w:r>
        <w:t xml:space="preserve"> </w:t>
      </w:r>
      <w:r>
        <w:t xml:space="preserve">referred to as P1 throughout. Code, derived artefacts, and the</w:t>
      </w:r>
      <w:r>
        <w:t xml:space="preserve"> </w:t>
      </w:r>
      <w:r>
        <w:t xml:space="preserve">interactive web application:</w:t>
      </w:r>
      <w:r>
        <w:t xml:space="preserve"> </w:t>
      </w:r>
      <w:hyperlink r:id="rId11">
        <w:r>
          <w:rPr>
            <w:rStyle w:val="Hyperlink"/>
          </w:rPr>
          <w:t xml:space="preserve">https://github.com/fsantibanezleal/CAOS_LDA_HSI</w:t>
        </w:r>
      </w:hyperlink>
      <w:r>
        <w:t xml:space="preserve">.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This work has been partially funded by The Advanced Mining</w:t>
      </w:r>
      <w:r>
        <w:t xml:space="preserve"> </w:t>
      </w:r>
      <w:r>
        <w:t xml:space="preserve">Technology Center (AMTC) Basal project (ANID/PIA Project AFB220002)</w:t>
      </w:r>
      <w:r>
        <w:t xml:space="preserve"> </w:t>
      </w:r>
      <w:r>
        <w:t xml:space="preserve">and ANID FONDECYT Postdoctorado 3220094.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7" Target="media/rId77.pdf" /><Relationship Type="http://schemas.openxmlformats.org/officeDocument/2006/relationships/image" Id="rId63" Target="media/rId63.pdf" /><Relationship Type="http://schemas.openxmlformats.org/officeDocument/2006/relationships/image" Id="rId31" Target="media/rId31.pdf" /><Relationship Type="http://schemas.openxmlformats.org/officeDocument/2006/relationships/image" Id="rId13" Target="media/rId13.pdf" /><Relationship Type="http://schemas.openxmlformats.org/officeDocument/2006/relationships/image" Id="rId67" Target="media/rId67.pdf" /><Relationship Type="http://schemas.openxmlformats.org/officeDocument/2006/relationships/image" Id="rId59" Target="media/rId59.pdf" /><Relationship Type="http://schemas.openxmlformats.org/officeDocument/2006/relationships/image" Id="rId55" Target="media/rId55.pdf" /><Relationship Type="http://schemas.openxmlformats.org/officeDocument/2006/relationships/image" Id="rId25" Target="media/rId25.pdf" /><Relationship Type="http://schemas.openxmlformats.org/officeDocument/2006/relationships/hyperlink" Id="rId137" Target="http://is.muni.cz/publication/884893/en" TargetMode="External" /><Relationship Type="http://schemas.openxmlformats.org/officeDocument/2006/relationships/hyperlink" Id="rId147" Target="http://proceedings.mlr.press/v22/taddy12.html" TargetMode="External" /><Relationship Type="http://schemas.openxmlformats.org/officeDocument/2006/relationships/hyperlink" Id="rId121" Target="http://proceedings.mlr.press/v48/miao16.html" TargetMode="External" /><Relationship Type="http://schemas.openxmlformats.org/officeDocument/2006/relationships/hyperlink" Id="rId123" Target="https://aclanthology.org/D11-1024/" TargetMode="External" /><Relationship Type="http://schemas.openxmlformats.org/officeDocument/2006/relationships/hyperlink" Id="rId129" Target="https://aclanthology.org/N10-1012/" TargetMode="External" /><Relationship Type="http://schemas.openxmlformats.org/officeDocument/2006/relationships/hyperlink" Id="rId117" Target="https://arxiv.org/abs/1312.6114" TargetMode="External" /><Relationship Type="http://schemas.openxmlformats.org/officeDocument/2006/relationships/hyperlink" Id="rId119" Target="https://doi.org/10.1002/nav.3800020109" TargetMode="External" /><Relationship Type="http://schemas.openxmlformats.org/officeDocument/2006/relationships/hyperlink" Id="rId107" Target="https://doi.org/10.1007/978-1-4615-3626-0" TargetMode="External" /><Relationship Type="http://schemas.openxmlformats.org/officeDocument/2006/relationships/hyperlink" Id="rId109" Target="https://doi.org/10.1007/978-3-662-44848-9_32" TargetMode="External" /><Relationship Type="http://schemas.openxmlformats.org/officeDocument/2006/relationships/hyperlink" Id="rId135" Target="https://doi.org/10.1016/j.rse.2007.07.028" TargetMode="External" /><Relationship Type="http://schemas.openxmlformats.org/officeDocument/2006/relationships/hyperlink" Id="rId113" Target="https://doi.org/10.1038/s41586-020-2649-2" TargetMode="External" /><Relationship Type="http://schemas.openxmlformats.org/officeDocument/2006/relationships/hyperlink" Id="rId153" Target="https://doi.org/10.1038/s41592-019-0686-2" TargetMode="External" /><Relationship Type="http://schemas.openxmlformats.org/officeDocument/2006/relationships/hyperlink" Id="rId105" Target="https://doi.org/10.1038/s41597-023-02061-x" TargetMode="External" /><Relationship Type="http://schemas.openxmlformats.org/officeDocument/2006/relationships/hyperlink" Id="rId155" Target="https://doi.org/10.1038/srep22482" TargetMode="External" /><Relationship Type="http://schemas.openxmlformats.org/officeDocument/2006/relationships/hyperlink" Id="rId111" Target="https://doi.org/10.1073/pnas.0307752101" TargetMode="External" /><Relationship Type="http://schemas.openxmlformats.org/officeDocument/2006/relationships/hyperlink" Id="rId157" Target="https://doi.org/10.1109/ICASSP.2017.7953348" TargetMode="External" /><Relationship Type="http://schemas.openxmlformats.org/officeDocument/2006/relationships/hyperlink" Id="rId95" Target="https://doi.org/10.1109/JSTARS.2012.2194696" TargetMode="External" /><Relationship Type="http://schemas.openxmlformats.org/officeDocument/2006/relationships/hyperlink" Id="rId99" Target="https://doi.org/10.1109/MGRS.2021.3071158" TargetMode="External" /><Relationship Type="http://schemas.openxmlformats.org/officeDocument/2006/relationships/hyperlink" Id="rId101" Target="https://doi.org/10.1109/MSP.2013.2279179" TargetMode="External" /><Relationship Type="http://schemas.openxmlformats.org/officeDocument/2006/relationships/hyperlink" Id="rId127" Target="https://doi.org/10.1109/TGRS.2005.844293" TargetMode="External" /><Relationship Type="http://schemas.openxmlformats.org/officeDocument/2006/relationships/hyperlink" Id="rId125" Target="https://doi.org/10.1137/0105003" TargetMode="External" /><Relationship Type="http://schemas.openxmlformats.org/officeDocument/2006/relationships/hyperlink" Id="rId139" Target="https://doi.org/10.1145/2684822.2685324" TargetMode="External" /><Relationship Type="http://schemas.openxmlformats.org/officeDocument/2006/relationships/hyperlink" Id="rId103" Target="https://doi.org/10.1162/tacl_a_00325" TargetMode="External" /><Relationship Type="http://schemas.openxmlformats.org/officeDocument/2006/relationships/hyperlink" Id="rId149" Target="https://doi.org/10.1198/016214506000000302" TargetMode="External" /><Relationship Type="http://schemas.openxmlformats.org/officeDocument/2006/relationships/hyperlink" Id="rId143" Target="https://doi.org/10.5281/zenodo.21504115" TargetMode="External" /><Relationship Type="http://schemas.openxmlformats.org/officeDocument/2006/relationships/hyperlink" Id="rId11" Target="https://github.com/fsantibanezleal/CAOS_LDA_HSI" TargetMode="External" /><Relationship Type="http://schemas.openxmlformats.org/officeDocument/2006/relationships/hyperlink" Id="rId49" Target="https://github.com/fsantibanezleal/CAOS_LDA_HSI_Paper" TargetMode="External" /><Relationship Type="http://schemas.openxmlformats.org/officeDocument/2006/relationships/hyperlink" Id="rId151" Target="https://jmlr.org/papers/v11/vinh10a.html" TargetMode="External" /><Relationship Type="http://schemas.openxmlformats.org/officeDocument/2006/relationships/hyperlink" Id="rId131" Target="https://jmlr.org/papers/v12/pedregosa11a.html" TargetMode="External" /><Relationship Type="http://schemas.openxmlformats.org/officeDocument/2006/relationships/hyperlink" Id="rId133" Target="https://jmlr.org/papers/v22/20-303.html" TargetMode="External" /><Relationship Type="http://schemas.openxmlformats.org/officeDocument/2006/relationships/hyperlink" Id="rId97" Target="https://jmlr.org/papers/v3/blei03a.html" TargetMode="External" /><Relationship Type="http://schemas.openxmlformats.org/officeDocument/2006/relationships/hyperlink" Id="rId145" Target="https://openreview.net/forum?id=BybtVK9lg" TargetMode="External" /><Relationship Type="http://schemas.openxmlformats.org/officeDocument/2006/relationships/hyperlink" Id="rId115" Target="https://papers.nips.cc/paper/3902-online-learning-for-latent-dirichlet-allocation" TargetMode="External" /><Relationship Type="http://schemas.openxmlformats.org/officeDocument/2006/relationships/hyperlink" Id="rId141" Target="https://www.researchgate.net/publication/36970827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7" Target="http://is.muni.cz/publication/884893/en" TargetMode="External" /><Relationship Type="http://schemas.openxmlformats.org/officeDocument/2006/relationships/hyperlink" Id="rId147" Target="http://proceedings.mlr.press/v22/taddy12.html" TargetMode="External" /><Relationship Type="http://schemas.openxmlformats.org/officeDocument/2006/relationships/hyperlink" Id="rId121" Target="http://proceedings.mlr.press/v48/miao16.html" TargetMode="External" /><Relationship Type="http://schemas.openxmlformats.org/officeDocument/2006/relationships/hyperlink" Id="rId123" Target="https://aclanthology.org/D11-1024/" TargetMode="External" /><Relationship Type="http://schemas.openxmlformats.org/officeDocument/2006/relationships/hyperlink" Id="rId129" Target="https://aclanthology.org/N10-1012/" TargetMode="External" /><Relationship Type="http://schemas.openxmlformats.org/officeDocument/2006/relationships/hyperlink" Id="rId117" Target="https://arxiv.org/abs/1312.6114" TargetMode="External" /><Relationship Type="http://schemas.openxmlformats.org/officeDocument/2006/relationships/hyperlink" Id="rId119" Target="https://doi.org/10.1002/nav.3800020109" TargetMode="External" /><Relationship Type="http://schemas.openxmlformats.org/officeDocument/2006/relationships/hyperlink" Id="rId107" Target="https://doi.org/10.1007/978-1-4615-3626-0" TargetMode="External" /><Relationship Type="http://schemas.openxmlformats.org/officeDocument/2006/relationships/hyperlink" Id="rId109" Target="https://doi.org/10.1007/978-3-662-44848-9_32" TargetMode="External" /><Relationship Type="http://schemas.openxmlformats.org/officeDocument/2006/relationships/hyperlink" Id="rId135" Target="https://doi.org/10.1016/j.rse.2007.07.028" TargetMode="External" /><Relationship Type="http://schemas.openxmlformats.org/officeDocument/2006/relationships/hyperlink" Id="rId113" Target="https://doi.org/10.1038/s41586-020-2649-2" TargetMode="External" /><Relationship Type="http://schemas.openxmlformats.org/officeDocument/2006/relationships/hyperlink" Id="rId153" Target="https://doi.org/10.1038/s41592-019-0686-2" TargetMode="External" /><Relationship Type="http://schemas.openxmlformats.org/officeDocument/2006/relationships/hyperlink" Id="rId105" Target="https://doi.org/10.1038/s41597-023-02061-x" TargetMode="External" /><Relationship Type="http://schemas.openxmlformats.org/officeDocument/2006/relationships/hyperlink" Id="rId155" Target="https://doi.org/10.1038/srep22482" TargetMode="External" /><Relationship Type="http://schemas.openxmlformats.org/officeDocument/2006/relationships/hyperlink" Id="rId111" Target="https://doi.org/10.1073/pnas.0307752101" TargetMode="External" /><Relationship Type="http://schemas.openxmlformats.org/officeDocument/2006/relationships/hyperlink" Id="rId157" Target="https://doi.org/10.1109/ICASSP.2017.7953348" TargetMode="External" /><Relationship Type="http://schemas.openxmlformats.org/officeDocument/2006/relationships/hyperlink" Id="rId95" Target="https://doi.org/10.1109/JSTARS.2012.2194696" TargetMode="External" /><Relationship Type="http://schemas.openxmlformats.org/officeDocument/2006/relationships/hyperlink" Id="rId99" Target="https://doi.org/10.1109/MGRS.2021.3071158" TargetMode="External" /><Relationship Type="http://schemas.openxmlformats.org/officeDocument/2006/relationships/hyperlink" Id="rId101" Target="https://doi.org/10.1109/MSP.2013.2279179" TargetMode="External" /><Relationship Type="http://schemas.openxmlformats.org/officeDocument/2006/relationships/hyperlink" Id="rId127" Target="https://doi.org/10.1109/TGRS.2005.844293" TargetMode="External" /><Relationship Type="http://schemas.openxmlformats.org/officeDocument/2006/relationships/hyperlink" Id="rId125" Target="https://doi.org/10.1137/0105003" TargetMode="External" /><Relationship Type="http://schemas.openxmlformats.org/officeDocument/2006/relationships/hyperlink" Id="rId139" Target="https://doi.org/10.1145/2684822.2685324" TargetMode="External" /><Relationship Type="http://schemas.openxmlformats.org/officeDocument/2006/relationships/hyperlink" Id="rId103" Target="https://doi.org/10.1162/tacl_a_00325" TargetMode="External" /><Relationship Type="http://schemas.openxmlformats.org/officeDocument/2006/relationships/hyperlink" Id="rId149" Target="https://doi.org/10.1198/016214506000000302" TargetMode="External" /><Relationship Type="http://schemas.openxmlformats.org/officeDocument/2006/relationships/hyperlink" Id="rId143" Target="https://doi.org/10.5281/zenodo.21504115" TargetMode="External" /><Relationship Type="http://schemas.openxmlformats.org/officeDocument/2006/relationships/hyperlink" Id="rId11" Target="https://github.com/fsantibanezleal/CAOS_LDA_HSI" TargetMode="External" /><Relationship Type="http://schemas.openxmlformats.org/officeDocument/2006/relationships/hyperlink" Id="rId49" Target="https://github.com/fsantibanezleal/CAOS_LDA_HSI_Paper" TargetMode="External" /><Relationship Type="http://schemas.openxmlformats.org/officeDocument/2006/relationships/hyperlink" Id="rId151" Target="https://jmlr.org/papers/v11/vinh10a.html" TargetMode="External" /><Relationship Type="http://schemas.openxmlformats.org/officeDocument/2006/relationships/hyperlink" Id="rId131" Target="https://jmlr.org/papers/v12/pedregosa11a.html" TargetMode="External" /><Relationship Type="http://schemas.openxmlformats.org/officeDocument/2006/relationships/hyperlink" Id="rId133" Target="https://jmlr.org/papers/v22/20-303.html" TargetMode="External" /><Relationship Type="http://schemas.openxmlformats.org/officeDocument/2006/relationships/hyperlink" Id="rId97" Target="https://jmlr.org/papers/v3/blei03a.html" TargetMode="External" /><Relationship Type="http://schemas.openxmlformats.org/officeDocument/2006/relationships/hyperlink" Id="rId145" Target="https://openreview.net/forum?id=BybtVK9lg" TargetMode="External" /><Relationship Type="http://schemas.openxmlformats.org/officeDocument/2006/relationships/hyperlink" Id="rId115" Target="https://papers.nips.cc/paper/3902-online-learning-for-latent-dirichlet-allocation" TargetMode="External" /><Relationship Type="http://schemas.openxmlformats.org/officeDocument/2006/relationships/hyperlink" Id="rId141" Target="https://www.researchgate.net/publication/36970827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Which Wordification Matters? A Nineteen-Recipe Sweep of the Interpretable-Topic-Model Framework on Hyperspectral Imagery</dc:title>
  <dc:creator>Felipe Santibáñez-Leal ,    </dc:creator>
  <cp:keywords/>
  <dcterms:created xsi:type="dcterms:W3CDTF">2026-09-18T08:19:38Z</dcterms:created>
  <dcterms:modified xsi:type="dcterms:W3CDTF">2026-09-18T08:19:38Z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/>
  </property>
</Properties>
</file>