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df" ContentType="application/pdf"/>
  <Override PartName="/word/media/rId1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Band-Mask Robustness Diagnostic for Latent Dirichlet</w:t>
      </w:r>
      <w:r>
        <w:t xml:space="preserve"> </w:t>
      </w:r>
      <w:r>
        <w:t xml:space="preserve">Allocation on Hyperspectral Imagery</w:t>
      </w:r>
    </w:p>
    <w:p>
      <w:pPr>
        <w:pStyle w:val="Author"/>
      </w:pPr>
    </w:p>
    <w:p>
      <w:pPr>
        <w:pStyle w:val="AbstractTitle"/>
      </w:pPr>
      <w:r>
        <w:t xml:space="preserve">Abstract</w:t>
      </w:r>
    </w:p>
    <w:p>
      <w:pPr>
        <w:pStyle w:val="Abstract"/>
      </w:pPr>
      <w:r>
        <w:t xml:space="preserve">Latent Dirichlet Allocation (LDA) and its neural variants are</w:t>
      </w:r>
      <w:r>
        <w:t xml:space="preserve"> </w:t>
      </w:r>
      <w:r>
        <w:t xml:space="preserve">increasingly used as interpretable spectral mixture models on</w:t>
      </w:r>
      <w:r>
        <w:t xml:space="preserve"> </w:t>
      </w:r>
      <w:r>
        <w:t xml:space="preserve">hyperspectral imagery. Their seed and capacity stability has been</w:t>
      </w:r>
      <w:r>
        <w:t xml:space="preserve"> </w:t>
      </w:r>
      <w:r>
        <w:t xml:space="preserve">studied at length; their robustness to the choice of</w:t>
      </w:r>
      <w:r>
        <w:t xml:space="preserve"> </w:t>
      </w:r>
      <w:r>
        <w:rPr>
          <w:i/>
          <w:iCs/>
        </w:rPr>
        <w:t xml:space="preserve">spectral</w:t>
      </w:r>
      <w:r>
        <w:rPr>
          <w:i/>
          <w:iCs/>
        </w:rPr>
        <w:t xml:space="preserve"> </w:t>
      </w:r>
      <w:r>
        <w:rPr>
          <w:i/>
          <w:iCs/>
        </w:rPr>
        <w:t xml:space="preserve">window</w:t>
      </w:r>
      <w:r>
        <w:t xml:space="preserve"> </w:t>
      </w:r>
      <w:r>
        <w:t xml:space="preserve">has not. We introduce a band-mask robustness diagnostic that</w:t>
      </w:r>
      <w:r>
        <w:t xml:space="preserve"> </w:t>
      </w:r>
      <w:r>
        <w:t xml:space="preserve">refits a canonical LDA model under four band-restriction policies</w:t>
      </w:r>
      <w:r>
        <w:t xml:space="preserve"> </w:t>
      </w:r>
      <w:r>
        <w:t xml:space="preserve">(VNIR-only, SWIR-only, atmospheric-water-band removal, top-50 Fisher</w:t>
      </w:r>
      <w:r>
        <w:t xml:space="preserve"> </w:t>
      </w:r>
      <w:r>
        <w:t xml:space="preserve">discriminant) and compares the masked dominant-topic maps against the</w:t>
      </w:r>
      <w:r>
        <w:t xml:space="preserve"> </w:t>
      </w:r>
      <w:r>
        <w:t xml:space="preserve">canonical fit via the adjusted Rand index after a Hungarian topic-id</w:t>
      </w:r>
      <w:r>
        <w:t xml:space="preserve"> </w:t>
      </w:r>
      <w:r>
        <w:t xml:space="preserve">alignment. Applied to six standard hyperspectral scenes (Indian</w:t>
      </w:r>
      <w:r>
        <w:t xml:space="preserve"> </w:t>
      </w:r>
      <w:r>
        <w:t xml:space="preserve">Pines, Salinas, Salinas-A, Pavia U, Kennedy Space Center, Botswana)</w:t>
      </w:r>
      <w:r>
        <w:t xml:space="preserve"> </w:t>
      </w:r>
      <w:r>
        <w:t xml:space="preserve">and five HIDSAG mineral subsets, the diagnostic separates the</w:t>
      </w:r>
      <w:r>
        <w:t xml:space="preserve"> </w:t>
      </w:r>
      <w:r>
        <w:t xml:space="preserve">scenes: topic identities on Salinas-A under SWIR-only restriction</w:t>
      </w:r>
      <w:r>
        <w:t xml:space="preserve"> </w:t>
      </w:r>
      <w:r>
        <w:t xml:space="preserve">recover the canonical assignment with paired ARI </w:t>
      </w:r>
      <m:oMath>
        <m:r>
          <m:rPr>
            <m:sty m:val="p"/>
          </m:rPr>
          <m:t>=</m:t>
        </m:r>
        <m:r>
          <m:t>0.77</m:t>
        </m:r>
      </m:oMath>
      <w:r>
        <w:t xml:space="preserve">, while</w:t>
      </w:r>
      <w:r>
        <w:t xml:space="preserve"> </w:t>
      </w:r>
      <w:r>
        <w:t xml:space="preserve">KSC paired ARI is </w:t>
      </w:r>
      <m:oMath>
        <m:r>
          <m:rPr>
            <m:sty m:val="p"/>
          </m:rPr>
          <m:t>≈</m:t>
        </m:r>
        <m:r>
          <m:t>0.01</m:t>
        </m:r>
      </m:oMath>
      <w:r>
        <w:t xml:space="preserve"> </w:t>
      </w:r>
      <w:r>
        <w:t xml:space="preserve">under every mask, and Botswana falls</w:t>
      </w:r>
      <w:r>
        <w:t xml:space="preserve"> </w:t>
      </w:r>
      <w:r>
        <w:t xml:space="preserve">to</w:t>
      </w:r>
      <w:r>
        <w:t xml:space="preserve"> </w:t>
      </w:r>
      <m:oMath>
        <m:r>
          <m:rPr>
            <m:sty m:val="p"/>
          </m:rPr>
          <m:t>≈</m:t>
        </m:r>
        <m:r>
          <m:t>0.01</m:t>
        </m:r>
      </m:oMath>
      <w:r>
        <w:t xml:space="preserve"> </w:t>
      </w:r>
      <w:r>
        <w:t xml:space="preserve">only under SWIR (elsewhere</w:t>
      </w:r>
      <w:r>
        <w:t xml:space="preserve"> </w:t>
      </w:r>
      <m:oMath>
        <m:r>
          <m:t>0.11</m:t>
        </m:r>
      </m:oMath>
      <w:r>
        <w:t xml:space="preserve">–</w:t>
      </w:r>
      <m:oMath>
        <m:r>
          <m:t>0.13</m:t>
        </m:r>
      </m:oMath>
      <w:r>
        <w:t xml:space="preserve">).</w:t>
      </w:r>
      <w:r>
        <w:t xml:space="preserve"> </w:t>
      </w:r>
      <w:r>
        <w:t xml:space="preserve">The diagnostic therefore separates scenes on which any</w:t>
      </w:r>
      <w:r>
        <w:t xml:space="preserve"> </w:t>
      </w:r>
      <w:r>
        <w:t xml:space="preserve">“interpretable spectral mixture”</w:t>
      </w:r>
      <w:r>
        <w:t xml:space="preserve"> </w:t>
      </w:r>
      <w:r>
        <w:t xml:space="preserve">claim is band-robust from scenes</w:t>
      </w:r>
      <w:r>
        <w:t xml:space="preserve"> </w:t>
      </w:r>
      <w:r>
        <w:t xml:space="preserve">on which it is not. We release the full sweep (44 LDA refit</w:t>
      </w:r>
      <w:r>
        <w:t xml:space="preserve"> </w:t>
      </w:r>
      <w:r>
        <w:t xml:space="preserve">attempts, 43 successful)</w:t>
      </w:r>
      <w:r>
        <w:t xml:space="preserve"> </w:t>
      </w:r>
      <w:r>
        <w:t xml:space="preserve">as a public, deterministic artefact set under a permissive licence</w:t>
      </w:r>
      <w:r>
        <w:t xml:space="preserve"> </w:t>
      </w:r>
      <w:r>
        <w:t xml:space="preserve">to support follow-on work.</w:t>
      </w:r>
    </w:p>
    <w:p>
      <w:pPr>
        <w:pStyle w:val="FirstParagraph"/>
      </w:pPr>
      <w:r>
        <w:t xml:space="preserve">hyperspectral imagery, latent Dirichlet allocation, topic models,</w:t>
      </w:r>
      <w:r>
        <w:t xml:space="preserve"> </w:t>
      </w:r>
      <w:r>
        <w:t xml:space="preserve">band selection, reproducibility, adjusted Rand index, Hungarian</w:t>
      </w:r>
      <w:r>
        <w:t xml:space="preserve"> </w:t>
      </w:r>
      <w:r>
        <w:t xml:space="preserve">alignment, robustness.</w:t>
      </w:r>
    </w:p>
    <w:bookmarkStart w:id="9" w:name="introduction"/>
    <w:p>
      <w:pPr>
        <w:pStyle w:val="Heading1"/>
      </w:pPr>
      <w:r>
        <w:t xml:space="preserve">Introduction</w:t>
      </w:r>
    </w:p>
    <w:p>
      <w:pPr>
        <w:pStyle w:val="FirstParagraph"/>
      </w:pPr>
      <w:r>
        <w:t xml:space="preserve">Topic modelling, in particular Latent Dirichlet Allocation</w:t>
      </w:r>
      <w:r>
        <w:t xml:space="preserve"> </w:t>
      </w:r>
      <w:r>
        <w:t xml:space="preserve">(Blei et al. 2003)</w:t>
      </w:r>
      <w:r>
        <w:t xml:space="preserve">, has been adapted to hyperspectral imagery (HSI)</w:t>
      </w:r>
      <w:r>
        <w:t xml:space="preserve"> </w:t>
      </w:r>
      <w:r>
        <w:t xml:space="preserve">as a route to</w:t>
      </w:r>
      <w:r>
        <w:t xml:space="preserve"> </w:t>
      </w:r>
      <w:r>
        <w:rPr>
          <w:i/>
          <w:iCs/>
        </w:rPr>
        <w:t xml:space="preserve">interpretable</w:t>
      </w:r>
      <w:r>
        <w:t xml:space="preserve"> </w:t>
      </w:r>
      <w:r>
        <w:t xml:space="preserve">spectral mixtures: each spectral</w:t>
      </w:r>
      <w:r>
        <w:t xml:space="preserve"> </w:t>
      </w:r>
      <w:r>
        <w:t xml:space="preserve">unit (canonically a pixel, but optionally a region, patch, or full</w:t>
      </w:r>
      <w:r>
        <w:t xml:space="preserve"> </w:t>
      </w:r>
      <w:r>
        <w:t xml:space="preserve">sample) becomes a document of quantised band-frequency tokens, and the</w:t>
      </w:r>
      <w:r>
        <w:t xml:space="preserve"> </w:t>
      </w:r>
      <w:r>
        <w:t xml:space="preserve">inferred topic–word distributions</w:t>
      </w:r>
      <w:r>
        <w:t xml:space="preserve"> </w:t>
      </w:r>
      <m:oMath>
        <m:sSub>
          <m:e>
            <m:r>
              <m:t>ϕ</m:t>
            </m:r>
          </m:e>
          <m:sub>
            <m:r>
              <m:t>k</m:t>
            </m:r>
          </m:sub>
        </m:sSub>
      </m:oMath>
      <w:r>
        <w:t xml:space="preserve"> </w:t>
      </w:r>
      <w:r>
        <w:t xml:space="preserve">act as basis spectra in</w:t>
      </w:r>
      <w:r>
        <w:t xml:space="preserve"> </w:t>
      </w:r>
      <w:r>
        <w:t xml:space="preserve">a non-negative simplex. The approach yields per-pixel posterior</w:t>
      </w:r>
      <w:r>
        <w:t xml:space="preserve"> </w:t>
      </w:r>
      <w:r>
        <w:t xml:space="preserve">mixtures</w:t>
      </w:r>
      <w:r>
        <w:t xml:space="preserve"> </w:t>
      </w:r>
      <m:oMath>
        <m:sSub>
          <m:e>
            <m:r>
              <m:t>θ</m:t>
            </m:r>
          </m:e>
          <m:sub>
            <m:r>
              <m:t>d</m:t>
            </m:r>
          </m:sub>
        </m:sSub>
        <m:r>
          <m:rPr>
            <m:sty m:val="p"/>
          </m:rPr>
          <m:t>∈</m:t>
        </m:r>
        <m:sSup>
          <m:e>
            <m:r>
              <m:rPr>
                <m:sty m:val="p"/>
              </m:rPr>
              <m:t>Δ</m:t>
            </m:r>
          </m:e>
          <m:sup>
            <m:r>
              <m:t>K</m:t>
            </m:r>
            <m:r>
              <m:rPr>
                <m:sty m:val="p"/>
              </m:rPr>
              <m:t>−</m:t>
            </m:r>
            <m:r>
              <m:t>1</m:t>
            </m:r>
          </m:sup>
        </m:sSup>
      </m:oMath>
      <w:r>
        <w:t xml:space="preserve"> </w:t>
      </w:r>
      <w:r>
        <w:t xml:space="preserve">that admit several downstream</w:t>
      </w:r>
      <w:r>
        <w:t xml:space="preserve"> </w:t>
      </w:r>
      <w:r>
        <w:t xml:space="preserve">uses: as features for a linear classifier, as a soft gate over</w:t>
      </w:r>
      <w:r>
        <w:t xml:space="preserve"> </w:t>
      </w:r>
      <w:r>
        <w:t xml:space="preserve">per-topic specialists, or as a mineralogical fingerprint when the</w:t>
      </w:r>
      <w:r>
        <w:t xml:space="preserve"> </w:t>
      </w:r>
      <w:r>
        <w:t xml:space="preserve">basis spectra align with reference libraries</w:t>
      </w:r>
      <w:r>
        <w:t xml:space="preserve"> </w:t>
      </w:r>
      <w:r>
        <w:t xml:space="preserve">(Zou and Zare 2017; Bioucas-Dias et al. 2012)</w:t>
      </w:r>
      <w:r>
        <w:t xml:space="preserve">.</w:t>
      </w:r>
    </w:p>
    <w:p>
      <w:pPr>
        <w:pStyle w:val="BodyText"/>
      </w:pPr>
      <w:r>
        <w:t xml:space="preserve">The literature on the</w:t>
      </w:r>
      <w:r>
        <w:t xml:space="preserve"> </w:t>
      </w:r>
      <w:r>
        <w:rPr>
          <w:i/>
          <w:iCs/>
        </w:rPr>
        <w:t xml:space="preserve">reliability</w:t>
      </w:r>
      <w:r>
        <w:t xml:space="preserve"> </w:t>
      </w:r>
      <w:r>
        <w:t xml:space="preserve">of these topic recoveries</w:t>
      </w:r>
      <w:r>
        <w:t xml:space="preserve"> </w:t>
      </w:r>
      <w:r>
        <w:t xml:space="preserve">has focused on two axes: (i) seed-to-seed variation</w:t>
      </w:r>
      <w:r>
        <w:t xml:space="preserve"> </w:t>
      </w:r>
      <w:r>
        <w:t xml:space="preserve">(Griffiths and Steyvers 2004)</w:t>
      </w:r>
      <w:r>
        <w:t xml:space="preserve"> </w:t>
      </w:r>
      <w:r>
        <w:t xml:space="preserve">and (ii) the choice of capacity</w:t>
      </w:r>
      <w:r>
        <w:t xml:space="preserve"> </w:t>
      </w:r>
      <m:oMath>
        <m:r>
          <m:t>K</m:t>
        </m:r>
      </m:oMath>
      <w:r>
        <w:t xml:space="preserve">.</w:t>
      </w:r>
      <w:r>
        <w:t xml:space="preserve"> </w:t>
      </w:r>
      <w:r>
        <w:t xml:space="preserve">We argue that a third axis, robustness to the choice of</w:t>
      </w:r>
      <w:r>
        <w:t xml:space="preserve"> </w:t>
      </w:r>
      <w:r>
        <w:rPr>
          <w:i/>
          <w:iCs/>
        </w:rPr>
        <w:t xml:space="preserve">spectral window</w:t>
      </w:r>
      <w:r>
        <w:t xml:space="preserve">, is at least as informative and is rarely</w:t>
      </w:r>
      <w:r>
        <w:t xml:space="preserve"> </w:t>
      </w:r>
      <w:r>
        <w:t xml:space="preserve">reported. A topic basis that flips identity when one removes the</w:t>
      </w:r>
      <w:r>
        <w:t xml:space="preserve"> </w:t>
      </w:r>
      <w:r>
        <w:t xml:space="preserve">atmospheric water bands, or when only VNIR or SWIR is retained,</w:t>
      </w:r>
      <w:r>
        <w:t xml:space="preserve"> </w:t>
      </w:r>
      <w:r>
        <w:t xml:space="preserve">provides weak grounds for claims like</w:t>
      </w:r>
      <w:r>
        <w:t xml:space="preserve"> </w:t>
      </w:r>
      <w:r>
        <w:t xml:space="preserve">“topic </w:t>
      </w:r>
      <m:oMath>
        <m:r>
          <m:t>k</m:t>
        </m:r>
      </m:oMath>
      <w:r>
        <w:t xml:space="preserve"> </w:t>
      </w:r>
      <w:r>
        <w:t xml:space="preserve">corresponds to a</w:t>
      </w:r>
      <w:r>
        <w:t xml:space="preserve"> </w:t>
      </w:r>
      <w:r>
        <w:t xml:space="preserve">specific mineral signature”</w:t>
      </w:r>
      <w:r>
        <w:t xml:space="preserve"> </w:t>
      </w:r>
      <w:r>
        <w:t xml:space="preserve">or</w:t>
      </w:r>
      <w:r>
        <w:t xml:space="preserve"> </w:t>
      </w:r>
      <w:r>
        <w:t xml:space="preserve">“topic </w:t>
      </w:r>
      <m:oMath>
        <m:r>
          <m:t>k</m:t>
        </m:r>
      </m:oMath>
      <w:r>
        <w:t xml:space="preserve"> </w:t>
      </w:r>
      <w:r>
        <w:t xml:space="preserve">is interpretable as</w:t>
      </w:r>
      <w:r>
        <w:t xml:space="preserve"> </w:t>
      </w:r>
      <w:r>
        <w:t xml:space="preserve">canopy water content”</w:t>
      </w:r>
      <w:r>
        <w:t xml:space="preserve">. Conversely, a topic basis whose identity</w:t>
      </w:r>
      <w:r>
        <w:t xml:space="preserve"> </w:t>
      </w:r>
      <w:r>
        <w:t xml:space="preserve">survives a substantial band restriction is materially more</w:t>
      </w:r>
      <w:r>
        <w:t xml:space="preserve"> </w:t>
      </w:r>
      <w:r>
        <w:t xml:space="preserve">trustworthy than one that does not.</w:t>
      </w:r>
    </w:p>
    <w:p>
      <w:pPr>
        <w:pStyle w:val="BodyText"/>
      </w:pPr>
      <w:r>
        <w:t xml:space="preserve">This paper makes three contributions:</w:t>
      </w:r>
    </w:p>
    <w:p>
      <w:pPr>
        <w:numPr>
          <w:ilvl w:val="0"/>
          <w:numId w:val="1001"/>
        </w:numPr>
      </w:pPr>
      <w:r>
        <w:t xml:space="preserve">A</w:t>
      </w:r>
      <w:r>
        <w:t xml:space="preserve"> </w:t>
      </w:r>
      <w:r>
        <w:rPr>
          <w:b/>
          <w:bCs/>
        </w:rPr>
        <w:t xml:space="preserve">band-mask robustness diagnostic</w:t>
      </w:r>
      <w:r>
        <w:t xml:space="preserve"> </w:t>
      </w:r>
      <w:r>
        <w:t xml:space="preserve">for LDA on HSI:</w:t>
      </w:r>
      <w:r>
        <w:t xml:space="preserve"> </w:t>
      </w:r>
      <w:r>
        <w:t xml:space="preserve">four band-restriction policies, refit canonical-</w:t>
      </w:r>
      <m:oMath>
        <m:r>
          <m:t>K</m:t>
        </m:r>
      </m:oMath>
      <w:r>
        <w:t xml:space="preserve"> </w:t>
      </w:r>
      <w:r>
        <w:t xml:space="preserve">LDA on each, and</w:t>
      </w:r>
      <w:r>
        <w:t xml:space="preserve"> </w:t>
      </w:r>
      <w:r>
        <w:t xml:space="preserve">compare against the canonical (no-mask) fit using the adjusted Rand</w:t>
      </w:r>
      <w:r>
        <w:t xml:space="preserve"> </w:t>
      </w:r>
      <w:r>
        <w:t xml:space="preserve">index of the dominant-topic maps after a Hungarian topic-id</w:t>
      </w:r>
      <w:r>
        <w:t xml:space="preserve"> </w:t>
      </w:r>
      <w:r>
        <w:t xml:space="preserve">alignment.</w:t>
      </w:r>
    </w:p>
    <w:p>
      <w:pPr>
        <w:numPr>
          <w:ilvl w:val="0"/>
          <w:numId w:val="1001"/>
        </w:numPr>
      </w:pPr>
      <w:r>
        <w:t xml:space="preserve">An</w:t>
      </w:r>
      <w:r>
        <w:t xml:space="preserve"> </w:t>
      </w:r>
      <w:r>
        <w:rPr>
          <w:b/>
          <w:bCs/>
        </w:rPr>
        <w:t xml:space="preserve">empirical sweep</w:t>
      </w:r>
      <w:r>
        <w:t xml:space="preserve"> </w:t>
      </w:r>
      <w:r>
        <w:t xml:space="preserve">across six standard hyperspectral</w:t>
      </w:r>
      <w:r>
        <w:t xml:space="preserve"> </w:t>
      </w:r>
      <w:r>
        <w:t xml:space="preserve">benchmarks and five HIDSAG mineral subsets, totalling 44 refit</w:t>
      </w:r>
      <w:r>
        <w:t xml:space="preserve"> </w:t>
      </w:r>
      <w:r>
        <w:t xml:space="preserve">attempts (43 successful; Pavia U</w:t>
      </w:r>
      <w:r>
        <w:t xml:space="preserve"> </w:t>
      </w:r>
      <m:oMath>
        <m:r>
          <m:rPr>
            <m:sty m:val="p"/>
          </m:rPr>
          <m:t>×</m:t>
        </m:r>
      </m:oMath>
      <w:r>
        <w:t xml:space="preserve"> </w:t>
      </w:r>
      <w:r>
        <w:t xml:space="preserve">SWIR is VNIR-only and</w:t>
      </w:r>
      <w:r>
        <w:t xml:space="preserve"> </w:t>
      </w:r>
      <w:r>
        <w:t xml:space="preserve">auto-skipped).</w:t>
      </w:r>
      <w:r>
        <w:t xml:space="preserve"> </w:t>
      </w:r>
      <w:r>
        <w:t xml:space="preserve">The sweep reveals a sharp split between scenes whose canonical</w:t>
      </w:r>
      <w:r>
        <w:t xml:space="preserve"> </w:t>
      </w:r>
      <w:r>
        <w:t xml:space="preserve">topics are band-robust (paired ARI 0.35–0.77) and scenes whose</w:t>
      </w:r>
      <w:r>
        <w:t xml:space="preserve"> </w:t>
      </w:r>
      <w:r>
        <w:t xml:space="preserve">topics are band-fragile (paired ARI </w:t>
      </w:r>
      <m:oMath>
        <m:r>
          <m:rPr>
            <m:sty m:val="p"/>
          </m:rPr>
          <m:t>≈</m:t>
        </m:r>
        <m:r>
          <m:t>0.01</m:t>
        </m:r>
      </m:oMath>
      <w:r>
        <w:t xml:space="preserve">).</w:t>
      </w:r>
    </w:p>
    <w:p>
      <w:pPr>
        <w:numPr>
          <w:ilvl w:val="0"/>
          <w:numId w:val="1001"/>
        </w:numPr>
      </w:pPr>
      <w:r>
        <w:t xml:space="preserve">A</w:t>
      </w:r>
      <w:r>
        <w:t xml:space="preserve"> </w:t>
      </w:r>
      <w:r>
        <w:rPr>
          <w:b/>
          <w:bCs/>
        </w:rPr>
        <w:t xml:space="preserve">public, deterministic artefact set</w:t>
      </w:r>
      <w:r>
        <w:t xml:space="preserve"> </w:t>
      </w:r>
      <w:r>
        <w:t xml:space="preserve">(3895 JSON and</w:t>
      </w:r>
      <w:r>
        <w:t xml:space="preserve"> </w:t>
      </w:r>
      <w:r>
        <w:t xml:space="preserve">binary files, including the dominant-topic maps, the per-pixel</w:t>
      </w:r>
      <w:r>
        <w:t xml:space="preserve"> </w:t>
      </w:r>
      <w:r>
        <w:t xml:space="preserve">posteriors </w:t>
      </w:r>
      <m:oMath>
        <m:r>
          <m:t>θ</m:t>
        </m:r>
      </m:oMath>
      <w:r>
        <w:t xml:space="preserve">, the per-topic label distributions</w:t>
      </w:r>
      <w:r>
        <w:t xml:space="preserve"> </w:t>
      </w:r>
      <m:oMath>
        <m:r>
          <m:t>P</m:t>
        </m:r>
        <m:r>
          <m:rPr>
            <m:sty m:val="p"/>
          </m:rPr>
          <m:t>(</m:t>
        </m:r>
        <m:r>
          <m:t>L</m:t>
        </m:r>
        <m:r>
          <m:rPr>
            <m:sty m:val="p"/>
          </m:rPr>
          <m:t>∣</m:t>
        </m:r>
        <m:r>
          <m:t>t</m:t>
        </m:r>
        <m:r>
          <m:rPr>
            <m:sty m:val="p"/>
          </m:rPr>
          <m:t>)</m:t>
        </m:r>
      </m:oMath>
      <w:r>
        <w:t xml:space="preserve">, and the full Hungarian alignment per (scene, mask)</w:t>
      </w:r>
      <w:r>
        <w:t xml:space="preserve"> </w:t>
      </w:r>
      <w:r>
        <w:t xml:space="preserve">tuple), served by a FastAPI backend and verified by a</w:t>
      </w:r>
      <w:r>
        <w:t xml:space="preserve"> </w:t>
      </w:r>
      <w:r>
        <w:t xml:space="preserve">109-endpoint test harness.</w:t>
      </w:r>
    </w:p>
    <w:p>
      <w:pPr>
        <w:pStyle w:val="FirstParagraph"/>
      </w:pPr>
      <w:r>
        <w:t xml:space="preserve">The rest of the paper is organised as follows. Section </w:t>
      </w:r>
      <w:hyperlink w:anchor="sec:method">
        <w:r>
          <w:rPr>
            <w:rStyle w:val="Hyperlink"/>
          </w:rPr>
          <w:t xml:space="preserve">2</w:t>
        </w:r>
      </w:hyperlink>
      <w:r>
        <w:t xml:space="preserve"> </w:t>
      </w:r>
      <w:r>
        <w:t xml:space="preserve">describes the diagnostic. Section </w:t>
      </w:r>
      <w:hyperlink w:anchor="sec:setup">
        <w:r>
          <w:rPr>
            <w:rStyle w:val="Hyperlink"/>
          </w:rPr>
          <w:t xml:space="preserve">3</w:t>
        </w:r>
      </w:hyperlink>
      <w:r>
        <w:t xml:space="preserve"> </w:t>
      </w:r>
      <w:r>
        <w:t xml:space="preserve">reports the</w:t>
      </w:r>
      <w:r>
        <w:t xml:space="preserve"> </w:t>
      </w:r>
      <w:r>
        <w:t xml:space="preserve">experimental setup (canonical LDA fit, four masks, evaluation</w:t>
      </w:r>
      <w:r>
        <w:t xml:space="preserve"> </w:t>
      </w:r>
      <w:r>
        <w:t xml:space="preserve">metrics). Section </w:t>
      </w:r>
      <w:hyperlink w:anchor="sec:results">
        <w:r>
          <w:rPr>
            <w:rStyle w:val="Hyperlink"/>
          </w:rPr>
          <w:t xml:space="preserve">4</w:t>
        </w:r>
      </w:hyperlink>
      <w:r>
        <w:t xml:space="preserve"> </w:t>
      </w:r>
      <w:r>
        <w:t xml:space="preserve">presents the band-mask paired</w:t>
      </w:r>
      <w:r>
        <w:t xml:space="preserve"> </w:t>
      </w:r>
      <w:r>
        <w:t xml:space="preserve">ARI surface across labelled and HIDSAG scenes. Section </w:t>
      </w:r>
      <w:hyperlink w:anchor="sec:discuss">
        <w:r>
          <w:rPr>
            <w:rStyle w:val="Hyperlink"/>
          </w:rPr>
          <w:t xml:space="preserve">5</w:t>
        </w:r>
      </w:hyperlink>
      <w:r>
        <w:t xml:space="preserve"> </w:t>
      </w:r>
      <w:r>
        <w:t xml:space="preserve">discusses the implications for any topic-based interpretability claim</w:t>
      </w:r>
      <w:r>
        <w:t xml:space="preserve"> </w:t>
      </w:r>
      <w:r>
        <w:t xml:space="preserve">on HSI. Section </w:t>
      </w:r>
      <w:hyperlink w:anchor="sec:repro">
        <w:r>
          <w:rPr>
            <w:rStyle w:val="Hyperlink"/>
          </w:rPr>
          <w:t xml:space="preserve">6</w:t>
        </w:r>
      </w:hyperlink>
      <w:r>
        <w:t xml:space="preserve"> </w:t>
      </w:r>
      <w:r>
        <w:t xml:space="preserve">documents the reproducibility</w:t>
      </w:r>
      <w:r>
        <w:t xml:space="preserve"> </w:t>
      </w:r>
      <w:r>
        <w:t xml:space="preserve">artefacts. Section </w:t>
      </w:r>
      <w:hyperlink w:anchor="sec:conclusion">
        <w:r>
          <w:rPr>
            <w:rStyle w:val="Hyperlink"/>
          </w:rPr>
          <w:t xml:space="preserve">7</w:t>
        </w:r>
      </w:hyperlink>
      <w:r>
        <w:t xml:space="preserve"> </w:t>
      </w:r>
      <w:r>
        <w:t xml:space="preserve">concludes.</w:t>
      </w:r>
    </w:p>
    <w:bookmarkEnd w:id="9"/>
    <w:bookmarkStart w:id="13" w:name="sec:method"/>
    <w:p>
      <w:pPr>
        <w:pStyle w:val="Heading1"/>
      </w:pPr>
      <w:r>
        <w:t xml:space="preserve">Method: band-mask robustness diagnostic</w:t>
      </w:r>
    </w:p>
    <w:bookmarkStart w:id="10" w:name="canonical-fit"/>
    <w:p>
      <w:pPr>
        <w:pStyle w:val="Heading2"/>
      </w:pPr>
      <w:r>
        <w:t xml:space="preserve">Canonical fit</w:t>
      </w:r>
    </w:p>
    <w:p>
      <w:pPr>
        <w:pStyle w:val="FirstParagraph"/>
      </w:pPr>
      <w:r>
        <w:t xml:space="preserve">Let</w:t>
      </w:r>
      <w:r>
        <w:t xml:space="preserve"> </w:t>
      </w:r>
      <m:oMath>
        <m:r>
          <m:rPr>
            <m:sty m:val="bi"/>
          </m:rPr>
          <m:t>X</m:t>
        </m:r>
        <m:r>
          <m:rPr>
            <m:sty m:val="p"/>
          </m:rPr>
          <m:t>∈</m:t>
        </m:r>
        <m:sSup>
          <m:e>
            <m:r>
              <m:rPr>
                <m:scr m:val="double-struck"/>
                <m:sty m:val="p"/>
              </m:rPr>
              <m:t>R</m:t>
            </m:r>
          </m:e>
          <m:sup>
            <m:r>
              <m:t>D</m:t>
            </m:r>
            <m:r>
              <m:rPr>
                <m:sty m:val="p"/>
              </m:rPr>
              <m:t>×</m:t>
            </m:r>
            <m:r>
              <m:t>B</m:t>
            </m:r>
          </m:sup>
        </m:sSup>
      </m:oMath>
      <w:r>
        <w:t xml:space="preserve"> </w:t>
      </w:r>
      <w:r>
        <w:t xml:space="preserve">be a stratified sample</w:t>
      </w:r>
      <w:r>
        <w:t xml:space="preserve"> </w:t>
      </w:r>
      <w:r>
        <w:t xml:space="preserve">of</w:t>
      </w:r>
      <w:r>
        <w:t xml:space="preserve"> </w:t>
      </w:r>
      <m:oMath>
        <m:r>
          <m:t>D</m:t>
        </m:r>
      </m:oMath>
      <w:r>
        <w:t xml:space="preserve"> </w:t>
      </w:r>
      <w:r>
        <w:t xml:space="preserve">labelled-pixel spectra over</w:t>
      </w:r>
      <w:r>
        <w:t xml:space="preserve"> </w:t>
      </w:r>
      <m:oMath>
        <m:r>
          <m:t>B</m:t>
        </m:r>
      </m:oMath>
      <w:r>
        <w:t xml:space="preserve"> </w:t>
      </w:r>
      <w:r>
        <w:t xml:space="preserve">bands. We tokenise each pixel</w:t>
      </w:r>
      <w:r>
        <w:t xml:space="preserve"> </w:t>
      </w:r>
      <w:r>
        <w:t xml:space="preserve">into a discrete band-frequency document using the V1 recipe</w:t>
      </w:r>
      <w:r>
        <w:t xml:space="preserve"> </w:t>
      </w:r>
      <w:r>
        <w:t xml:space="preserve">introduced in </w:t>
      </w:r>
      <w:r>
        <w:t xml:space="preserve">(Santibañez-Leal et al. 2022)</w:t>
      </w:r>
      <w:r>
        <w:t xml:space="preserve">: each spectrum is</w:t>
      </w:r>
      <w:r>
        <w:t xml:space="preserve"> </w:t>
      </w:r>
      <w:r>
        <w:t xml:space="preserve">min-max normalised across bands and quantised into</w:t>
      </w:r>
      <w:r>
        <w:t xml:space="preserve"> </w:t>
      </w:r>
      <m:oMath>
        <m:r>
          <m:t>Q</m:t>
        </m:r>
        <m:r>
          <m:rPr>
            <m:sty m:val="p"/>
          </m:rPr>
          <m:t>+</m:t>
        </m:r>
        <m:r>
          <m:t>1</m:t>
        </m:r>
        <m:r>
          <m:rPr>
            <m:sty m:val="p"/>
          </m:rPr>
          <m:t>=</m:t>
        </m:r>
        <m:r>
          <m:t>13</m:t>
        </m:r>
      </m:oMath>
      <w:r>
        <w:t xml:space="preserve"> </w:t>
      </w:r>
      <w:r>
        <w:t xml:space="preserve">levels,</w:t>
      </w:r>
      <w:r>
        <w:t xml:space="preserve"> </w:t>
      </w:r>
      <w:r>
        <w:t xml:space="preserve">yielding integer counts</w:t>
      </w:r>
      <w:r>
        <w:t xml:space="preserve"> </w:t>
      </w:r>
      <m:oMath>
        <m:sSub>
          <m:e>
            <m:r>
              <m:t>c</m:t>
            </m:r>
          </m:e>
          <m:sub>
            <m:r>
              <m:t>d</m:t>
            </m:r>
            <m:r>
              <m:rPr>
                <m:sty m:val="p"/>
              </m:rPr>
              <m:t>,</m:t>
            </m:r>
            <m:r>
              <m:t>b</m:t>
            </m:r>
          </m:sub>
        </m:sSub>
        <m:r>
          <m:rPr>
            <m:sty m:val="p"/>
          </m:rPr>
          <m:t>∈</m:t>
        </m:r>
        <m:r>
          <m:rPr>
            <m:sty m:val="p"/>
          </m:rPr>
          <m:t>{</m:t>
        </m:r>
        <m:r>
          <m:t>0</m:t>
        </m:r>
        <m:r>
          <m:rPr>
            <m:sty m:val="p"/>
          </m:rPr>
          <m:t>,</m:t>
        </m:r>
        <m:r>
          <m:rPr>
            <m:sty m:val="p"/>
          </m:rPr>
          <m:t>…</m:t>
        </m:r>
        <m:r>
          <m:rPr>
            <m:sty m:val="p"/>
          </m:rPr>
          <m:t>,</m:t>
        </m:r>
        <m:r>
          <m:t>12</m:t>
        </m:r>
        <m:r>
          <m:rPr>
            <m:sty m:val="p"/>
          </m:rPr>
          <m:t>}</m:t>
        </m:r>
      </m:oMath>
      <w:r>
        <w:t xml:space="preserve">. The</w:t>
      </w:r>
      <w:r>
        <w:t xml:space="preserve"> </w:t>
      </w:r>
      <w:r>
        <w:t xml:space="preserve">resulting doc-term matrix is fit with the online variational Bayes</w:t>
      </w:r>
      <w:r>
        <w:t xml:space="preserve"> </w:t>
      </w:r>
      <w:r>
        <w:t xml:space="preserve">LDA of Hoffman, Blei, and Bach</w:t>
      </w:r>
      <w:r>
        <w:t xml:space="preserve"> </w:t>
      </w:r>
      <w:r>
        <w:t xml:space="preserve">(Hoffman et al. 2010)</w:t>
      </w:r>
      <w:r>
        <w:t xml:space="preserve"> </w:t>
      </w:r>
      <w:r>
        <w:t xml:space="preserve">as</w:t>
      </w:r>
      <w:r>
        <w:t xml:space="preserve"> </w:t>
      </w:r>
      <w:r>
        <w:t xml:space="preserve">implemented in</w:t>
      </w:r>
      <w:r>
        <w:t xml:space="preserve"> </w:t>
      </w:r>
      <w:r>
        <w:rPr>
          <w:rStyle w:val="VerbatimChar"/>
        </w:rPr>
        <w:t xml:space="preserve">scikit-learn</w:t>
      </w:r>
      <w:r>
        <w:t xml:space="preserve"> </w:t>
      </w:r>
      <w:r>
        <w:t xml:space="preserve">(Pedregosa et al. 2011)</w:t>
      </w:r>
      <w:r>
        <w:t xml:space="preserve"> </w:t>
      </w:r>
      <w:r>
        <w:t xml:space="preserve">with</w:t>
      </w:r>
      <w:r>
        <w:t xml:space="preserve"> </w:t>
      </w:r>
      <w:r>
        <w:t xml:space="preserve">the following hyperparameters held fixed across all refits:</w:t>
      </w:r>
    </w:p>
    <w:p>
      <w:pPr>
        <w:numPr>
          <w:ilvl w:val="0"/>
          <w:numId w:val="1002"/>
        </w:numPr>
      </w:pPr>
      <m:oMath>
        <m:r>
          <m:t>K</m:t>
        </m:r>
        <m:r>
          <m:rPr>
            <m:sty m:val="p"/>
          </m:rPr>
          <m:t>=</m:t>
        </m:r>
        <m:r>
          <m:rPr>
            <m:sty m:val="p"/>
          </m:rPr>
          <m:t>max</m:t>
        </m:r>
        <m:r>
          <m:rPr>
            <m:sty m:val="p"/>
          </m:rPr>
          <m:t>(</m:t>
        </m:r>
        <m:r>
          <m:t>4</m:t>
        </m:r>
        <m:r>
          <m:rPr>
            <m:sty m:val="p"/>
          </m:rPr>
          <m:t>,</m:t>
        </m:r>
        <m:r>
          <m:rPr>
            <m:sty m:val="p"/>
          </m:rPr>
          <m:t>min</m:t>
        </m:r>
        <m:r>
          <m:rPr>
            <m:sty m:val="p"/>
          </m:rPr>
          <m:t>(</m:t>
        </m:r>
        <m:r>
          <m:t>12</m:t>
        </m:r>
        <m:r>
          <m:rPr>
            <m:sty m:val="p"/>
          </m:rPr>
          <m:t>,</m:t>
        </m:r>
        <m:sSub>
          <m:e>
            <m:r>
              <m:t>n</m:t>
            </m:r>
          </m:e>
          <m:sub>
            <m:r>
              <m:rPr>
                <m:nor/>
                <m:sty m:val="p"/>
              </m:rPr>
              <m:t>classes</m:t>
            </m:r>
          </m:sub>
        </m:sSub>
        <m:r>
          <m:rPr>
            <m:sty m:val="p"/>
          </m:rPr>
          <m:t>)</m:t>
        </m:r>
        <m:r>
          <m:rPr>
            <m:sty m:val="p"/>
          </m:rPr>
          <m:t>)</m:t>
        </m:r>
      </m:oMath>
      <w:r>
        <w:t xml:space="preserve">,</w:t>
      </w:r>
    </w:p>
    <w:p>
      <w:pPr>
        <w:numPr>
          <w:ilvl w:val="0"/>
          <w:numId w:val="1002"/>
        </w:numPr>
      </w:pPr>
      <m:oMath>
        <m:r>
          <m:t>α</m:t>
        </m:r>
        <m:r>
          <m:rPr>
            <m:sty m:val="p"/>
          </m:rPr>
          <m:t>=</m:t>
        </m:r>
        <m:r>
          <m:t>0.45</m:t>
        </m:r>
      </m:oMath>
      <w:r>
        <w:t xml:space="preserve"> </w:t>
      </w:r>
      <w:r>
        <w:t xml:space="preserve">(Dirichlet prior on</w:t>
      </w:r>
      <w:r>
        <w:t xml:space="preserve"> </w:t>
      </w:r>
      <m:oMath>
        <m:r>
          <m:t>θ</m:t>
        </m:r>
      </m:oMath>
      <w:r>
        <w:t xml:space="preserve">),</w:t>
      </w:r>
    </w:p>
    <w:p>
      <w:pPr>
        <w:numPr>
          <w:ilvl w:val="0"/>
          <w:numId w:val="1002"/>
        </w:numPr>
      </w:pPr>
      <m:oMath>
        <m:r>
          <m:t>η</m:t>
        </m:r>
        <m:r>
          <m:rPr>
            <m:sty m:val="p"/>
          </m:rPr>
          <m:t>=</m:t>
        </m:r>
        <m:r>
          <m:t>0.20</m:t>
        </m:r>
      </m:oMath>
      <w:r>
        <w:t xml:space="preserve"> </w:t>
      </w:r>
      <w:r>
        <w:t xml:space="preserve">(Dirichlet prior on</w:t>
      </w:r>
      <w:r>
        <w:t xml:space="preserve"> </w:t>
      </w:r>
      <m:oMath>
        <m:r>
          <m:t>ϕ</m:t>
        </m:r>
      </m:oMath>
      <w:r>
        <w:t xml:space="preserve">),</w:t>
      </w:r>
    </w:p>
    <w:p>
      <w:pPr>
        <w:numPr>
          <w:ilvl w:val="0"/>
          <w:numId w:val="1002"/>
        </w:numPr>
      </w:pPr>
      <m:oMath>
        <m:sSub>
          <m:e>
            <m:r>
              <m:t>T</m:t>
            </m:r>
          </m:e>
          <m:sub>
            <m:r>
              <m:rPr>
                <m:sty m:val="p"/>
              </m:rPr>
              <m:t>max</m:t>
            </m:r>
          </m:sub>
        </m:sSub>
        <m:r>
          <m:rPr>
            <m:sty m:val="p"/>
          </m:rPr>
          <m:t>=</m:t>
        </m:r>
        <m:r>
          <m:t>60</m:t>
        </m:r>
      </m:oMath>
      <w:r>
        <w:t xml:space="preserve"> </w:t>
      </w:r>
      <w:r>
        <w:t xml:space="preserve">online-VB passes,</w:t>
      </w:r>
    </w:p>
    <w:p>
      <w:pPr>
        <w:numPr>
          <w:ilvl w:val="0"/>
          <w:numId w:val="1002"/>
        </w:numPr>
      </w:pPr>
      <w:r>
        <w:t xml:space="preserve">random seed</w:t>
      </w:r>
      <w:r>
        <w:t xml:space="preserve"> </w:t>
      </w:r>
      <m:oMath>
        <m:r>
          <m:rPr>
            <m:sty m:val="p"/>
          </m:rPr>
          <m:t>=</m:t>
        </m:r>
        <m:r>
          <m:t>42</m:t>
        </m:r>
      </m:oMath>
      <w:r>
        <w:t xml:space="preserve">, samples-per-class</w:t>
      </w:r>
      <w:r>
        <w:t xml:space="preserve"> </w:t>
      </w:r>
      <m:oMath>
        <m:r>
          <m:rPr>
            <m:sty m:val="p"/>
          </m:rPr>
          <m:t>=</m:t>
        </m:r>
        <m:r>
          <m:t>220</m:t>
        </m:r>
      </m:oMath>
      <w:r>
        <w:t xml:space="preserve">.</w:t>
      </w:r>
    </w:p>
    <w:p>
      <w:pPr>
        <w:pStyle w:val="FirstParagraph"/>
      </w:pPr>
      <w:r>
        <w:t xml:space="preserve">The canonical fit yields</w:t>
      </w:r>
      <w:r>
        <w:t xml:space="preserve"> </w:t>
      </w:r>
      <m:oMath>
        <m:r>
          <m:t>ϕ</m:t>
        </m:r>
        <m:r>
          <m:rPr>
            <m:sty m:val="p"/>
          </m:rPr>
          <m:t>∈</m:t>
        </m:r>
        <m:sSubSup>
          <m:e>
            <m:r>
              <m:rPr>
                <m:scr m:val="double-struck"/>
                <m:sty m:val="p"/>
              </m:rPr>
              <m:t>R</m:t>
            </m:r>
          </m:e>
          <m:sub>
            <m:r>
              <m:rPr>
                <m:sty m:val="p"/>
              </m:rPr>
              <m:t>+</m:t>
            </m:r>
          </m:sub>
          <m:sup>
            <m:r>
              <m:t>K</m:t>
            </m:r>
            <m:r>
              <m:rPr>
                <m:sty m:val="p"/>
              </m:rPr>
              <m:t>×</m:t>
            </m:r>
            <m:r>
              <m:t>B</m:t>
            </m:r>
          </m:sup>
        </m:sSubSup>
      </m:oMath>
      <w:r>
        <w:t xml:space="preserve"> </w:t>
      </w:r>
      <w:r>
        <w:t xml:space="preserve">(the</w:t>
      </w:r>
      <w:r>
        <w:t xml:space="preserve"> </w:t>
      </w:r>
      <w:r>
        <w:t xml:space="preserve">topic–word distributions, equivalently the basis spectra) and</w:t>
      </w:r>
      <w:r>
        <w:t xml:space="preserve"> </w:t>
      </w:r>
      <m:oMath>
        <m:r>
          <m:t>θ</m:t>
        </m:r>
        <m:r>
          <m:rPr>
            <m:sty m:val="p"/>
          </m:rPr>
          <m:t>∈</m:t>
        </m:r>
        <m:sSubSup>
          <m:e>
            <m:r>
              <m:rPr>
                <m:scr m:val="double-struck"/>
                <m:sty m:val="p"/>
              </m:rPr>
              <m:t>R</m:t>
            </m:r>
          </m:e>
          <m:sub>
            <m:r>
              <m:rPr>
                <m:sty m:val="p"/>
              </m:rPr>
              <m:t>+</m:t>
            </m:r>
          </m:sub>
          <m:sup>
            <m:r>
              <m:t>D</m:t>
            </m:r>
            <m:r>
              <m:rPr>
                <m:sty m:val="p"/>
              </m:rPr>
              <m:t>×</m:t>
            </m:r>
            <m:r>
              <m:t>K</m:t>
            </m:r>
          </m:sup>
        </m:sSubSup>
      </m:oMath>
      <w:r>
        <w:t xml:space="preserve"> </w:t>
      </w:r>
      <w:r>
        <w:t xml:space="preserve">(the per-document posterior</w:t>
      </w:r>
      <w:r>
        <w:t xml:space="preserve"> </w:t>
      </w:r>
      <w:r>
        <w:t xml:space="preserve">simplex). The per-pixel dominant topic is</w:t>
      </w:r>
      <w:r>
        <w:t xml:space="preserve"> </w:t>
      </w:r>
      <m:oMath>
        <m:sSub>
          <m:e>
            <m:r>
              <m:t>z</m:t>
            </m:r>
          </m:e>
          <m:sub>
            <m:r>
              <m:t>d</m:t>
            </m:r>
          </m:sub>
        </m:sSub>
        <m:r>
          <m:rPr>
            <m:sty m:val="p"/>
          </m:rPr>
          <m:t>=</m:t>
        </m:r>
        <m:r>
          <m:rPr>
            <m:sty m:val="p"/>
          </m:rPr>
          <m:t>arg</m:t>
        </m:r>
        <m:sSub>
          <m:e>
            <m:r>
              <m:rPr>
                <m:sty m:val="p"/>
              </m:rPr>
              <m:t>max</m:t>
            </m:r>
          </m:e>
          <m:sub>
            <m:r>
              <m:t>k</m:t>
            </m:r>
          </m:sub>
        </m:sSub>
        <m:sSub>
          <m:e>
            <m:r>
              <m:t>θ</m:t>
            </m:r>
          </m:e>
          <m:sub>
            <m:r>
              <m:t>d</m:t>
            </m:r>
            <m:r>
              <m:rPr>
                <m:sty m:val="p"/>
              </m:rPr>
              <m:t>,</m:t>
            </m:r>
            <m:r>
              <m:t>k</m:t>
            </m:r>
          </m:sub>
        </m:sSub>
      </m:oMath>
      <w:r>
        <w:t xml:space="preserve">.</w:t>
      </w:r>
    </w:p>
    <w:bookmarkEnd w:id="10"/>
    <w:bookmarkStart w:id="11" w:name="band-mask-sweep"/>
    <w:p>
      <w:pPr>
        <w:pStyle w:val="Heading2"/>
      </w:pPr>
      <w:r>
        <w:t xml:space="preserve">Band-mask sweep</w:t>
      </w:r>
    </w:p>
    <w:p>
      <w:pPr>
        <w:pStyle w:val="FirstParagraph"/>
      </w:pPr>
      <w:r>
        <w:t xml:space="preserve">A mask</w:t>
      </w:r>
      <w:r>
        <w:t xml:space="preserve"> </w:t>
      </w:r>
      <m:oMath>
        <m:r>
          <m:t>m</m:t>
        </m:r>
        <m:r>
          <m:rPr>
            <m:sty m:val="p"/>
          </m:rPr>
          <m:t>:</m:t>
        </m:r>
        <m:r>
          <m:rPr>
            <m:sty m:val="p"/>
          </m:rPr>
          <m:t>{</m:t>
        </m:r>
        <m:r>
          <m:t>0</m:t>
        </m:r>
        <m:r>
          <m:rPr>
            <m:sty m:val="p"/>
          </m:rPr>
          <m:t>,</m:t>
        </m:r>
        <m:r>
          <m:rPr>
            <m:sty m:val="p"/>
          </m:rPr>
          <m:t>…</m:t>
        </m:r>
        <m:r>
          <m:rPr>
            <m:sty m:val="p"/>
          </m:rPr>
          <m:t>,</m:t>
        </m:r>
        <m:r>
          <m:t>B</m:t>
        </m:r>
        <m:r>
          <m:rPr>
            <m:sty m:val="p"/>
          </m:rPr>
          <m:t>−</m:t>
        </m:r>
        <m:r>
          <m:t>1</m:t>
        </m:r>
        <m:r>
          <m:rPr>
            <m:sty m:val="p"/>
          </m:rPr>
          <m:t>}</m:t>
        </m:r>
        <m:r>
          <m:rPr>
            <m:sty m:val="p"/>
          </m:rPr>
          <m:t>→</m:t>
        </m:r>
        <m:r>
          <m:rPr>
            <m:sty m:val="p"/>
          </m:rPr>
          <m:t>{</m:t>
        </m:r>
        <m:r>
          <m:rPr>
            <m:nor/>
            <m:sty m:val="p"/>
          </m:rPr>
          <m:t>True</m:t>
        </m:r>
        <m:r>
          <m:rPr>
            <m:sty m:val="p"/>
          </m:rPr>
          <m:t>,</m:t>
        </m:r>
        <m:r>
          <m:rPr>
            <m:nor/>
            <m:sty m:val="p"/>
          </m:rPr>
          <m:t>False</m:t>
        </m:r>
        <m:r>
          <m:rPr>
            <m:sty m:val="p"/>
          </m:rPr>
          <m:t>}</m:t>
        </m:r>
      </m:oMath>
      <w:r>
        <w:t xml:space="preserve"> </w:t>
      </w:r>
      <w:r>
        <w:t xml:space="preserve">selects which bands enter the doc-term matrix. We evaluate four</w:t>
      </w:r>
      <w:r>
        <w:t xml:space="preserve"> </w:t>
      </w:r>
      <w:r>
        <w:t xml:space="preserve">masks:</w:t>
      </w:r>
    </w:p>
    <w:p>
      <w:pPr>
        <w:numPr>
          <w:ilvl w:val="0"/>
          <w:numId w:val="1003"/>
        </w:numPr>
      </w:pPr>
      <w:r>
        <w:rPr>
          <w:b/>
          <w:bCs/>
        </w:rPr>
        <w:t xml:space="preserve">VNIR</w:t>
      </w:r>
      <w:r>
        <w:t xml:space="preserve">:</w:t>
      </w:r>
      <w:r>
        <w:t xml:space="preserve"> </w:t>
      </w:r>
      <m:oMath>
        <m:sSub>
          <m:e>
            <m:r>
              <m:t>λ</m:t>
            </m:r>
          </m:e>
          <m:sub>
            <m:r>
              <m:t>b</m:t>
            </m:r>
          </m:sub>
        </m:sSub>
        <m:r>
          <m:rPr>
            <m:sty m:val="p"/>
          </m:rPr>
          <m:t>∈</m:t>
        </m:r>
        <m:r>
          <m:rPr>
            <m:sty m:val="p"/>
          </m:rPr>
          <m:t>[</m:t>
        </m:r>
        <m:r>
          <m:t>400</m:t>
        </m:r>
        <m:r>
          <m:rPr>
            <m:sty m:val="p"/>
          </m:rPr>
          <m:t>,</m:t>
        </m:r>
        <m:r>
          <m:t>1100</m:t>
        </m:r>
        <m:r>
          <m:rPr>
            <m:sty m:val="p"/>
          </m:rPr>
          <m:t>]</m:t>
        </m:r>
      </m:oMath>
      <w:r>
        <w:t xml:space="preserve"> nm only,</w:t>
      </w:r>
    </w:p>
    <w:p>
      <w:pPr>
        <w:numPr>
          <w:ilvl w:val="0"/>
          <w:numId w:val="1003"/>
        </w:numPr>
      </w:pPr>
      <w:r>
        <w:rPr>
          <w:b/>
          <w:bCs/>
        </w:rPr>
        <w:t xml:space="preserve">SWIR</w:t>
      </w:r>
      <w:r>
        <w:t xml:space="preserve">:</w:t>
      </w:r>
      <w:r>
        <w:t xml:space="preserve"> </w:t>
      </w:r>
      <m:oMath>
        <m:sSub>
          <m:e>
            <m:r>
              <m:t>λ</m:t>
            </m:r>
          </m:e>
          <m:sub>
            <m:r>
              <m:t>b</m:t>
            </m:r>
          </m:sub>
        </m:sSub>
        <m:r>
          <m:rPr>
            <m:sty m:val="p"/>
          </m:rPr>
          <m:t>∈</m:t>
        </m:r>
        <m:r>
          <m:rPr>
            <m:sty m:val="p"/>
          </m:rPr>
          <m:t>[</m:t>
        </m:r>
        <m:r>
          <m:t>1100</m:t>
        </m:r>
        <m:r>
          <m:rPr>
            <m:sty m:val="p"/>
          </m:rPr>
          <m:t>,</m:t>
        </m:r>
        <m:r>
          <m:t>2500</m:t>
        </m:r>
        <m:r>
          <m:rPr>
            <m:sty m:val="p"/>
          </m:rPr>
          <m:t>]</m:t>
        </m:r>
      </m:oMath>
      <w:r>
        <w:t xml:space="preserve"> nm only,</w:t>
      </w:r>
    </w:p>
    <w:p>
      <w:pPr>
        <w:numPr>
          <w:ilvl w:val="0"/>
          <w:numId w:val="1003"/>
        </w:numPr>
      </w:pPr>
      <w:r>
        <w:rPr>
          <w:b/>
          <w:bCs/>
        </w:rPr>
        <w:t xml:space="preserve">No-water</w:t>
      </w:r>
      <w:r>
        <w:t xml:space="preserve">: drop</w:t>
      </w:r>
      <w:r>
        <w:t xml:space="preserve"> </w:t>
      </w:r>
      <m:oMath>
        <m:r>
          <m:rPr>
            <m:sty m:val="p"/>
          </m:rPr>
          <m:t>[</m:t>
        </m:r>
        <m:r>
          <m:t>1350</m:t>
        </m:r>
        <m:r>
          <m:rPr>
            <m:sty m:val="p"/>
          </m:rPr>
          <m:t>,</m:t>
        </m:r>
        <m:r>
          <m:t>1430</m:t>
        </m:r>
        <m:r>
          <m:rPr>
            <m:sty m:val="p"/>
          </m:rPr>
          <m:t>]</m:t>
        </m:r>
        <m:r>
          <m:rPr>
            <m:sty m:val="p"/>
          </m:rPr>
          <m:t>∪</m:t>
        </m:r>
        <m:r>
          <m:rPr>
            <m:sty m:val="p"/>
          </m:rPr>
          <m:t>[</m:t>
        </m:r>
        <m:r>
          <m:t>1800</m:t>
        </m:r>
        <m:r>
          <m:rPr>
            <m:sty m:val="p"/>
          </m:rPr>
          <m:t>,</m:t>
        </m:r>
        <m:r>
          <m:t>1950</m:t>
        </m:r>
        <m:r>
          <m:rPr>
            <m:sty m:val="p"/>
          </m:rPr>
          <m:t>]</m:t>
        </m:r>
        <m:r>
          <m:rPr>
            <m:sty m:val="p"/>
          </m:rPr>
          <m:t>∪</m:t>
        </m:r>
        <m:r>
          <m:rPr>
            <m:sty m:val="p"/>
          </m:rPr>
          <m:t>[</m:t>
        </m:r>
        <m:r>
          <m:t>2480</m:t>
        </m:r>
        <m:r>
          <m:rPr>
            <m:sty m:val="p"/>
          </m:rPr>
          <m:t>,</m:t>
        </m:r>
        <m:r>
          <m:t>2500</m:t>
        </m:r>
        <m:r>
          <m:rPr>
            <m:sty m:val="p"/>
          </m:rPr>
          <m:t>]</m:t>
        </m:r>
      </m:oMath>
      <w:r>
        <w:t xml:space="preserve"> nm</w:t>
      </w:r>
      <w:r>
        <w:t xml:space="preserve"> </w:t>
      </w:r>
      <w:r>
        <w:t xml:space="preserve">(atmospheric water-vapour absorption bands),</w:t>
      </w:r>
    </w:p>
    <w:p>
      <w:pPr>
        <w:numPr>
          <w:ilvl w:val="0"/>
          <w:numId w:val="1003"/>
        </w:numPr>
      </w:pPr>
      <w:r>
        <w:rPr>
          <w:b/>
          <w:bCs/>
        </w:rPr>
        <w:t xml:space="preserve">Top-50 Fisher</w:t>
      </w:r>
      <w:r>
        <w:t xml:space="preserve">: keep the 50 bands with the highest</w:t>
      </w:r>
      <w:r>
        <w:t xml:space="preserve"> </w:t>
      </w:r>
      <w:r>
        <w:t xml:space="preserve">per-band Fisher discriminant ratio against the ground-truth label</w:t>
      </w:r>
      <w:r>
        <w:t xml:space="preserve"> </w:t>
      </w:r>
      <w:r>
        <w:t xml:space="preserve">(uses the unmasked spectrum’s Fisher ranking; a clean</w:t>
      </w:r>
      <w:r>
        <w:t xml:space="preserve"> </w:t>
      </w:r>
      <w:r>
        <w:t xml:space="preserve">information-theoretic ablation is out of scope of the diagnostic).</w:t>
      </w:r>
    </w:p>
    <w:p>
      <w:pPr>
        <w:pStyle w:val="FirstParagraph"/>
      </w:pPr>
      <w:r>
        <w:t xml:space="preserve">For each mask we refit LDA on the restricted doc-term matrix with</w:t>
      </w:r>
      <w:r>
        <w:t xml:space="preserve"> </w:t>
      </w:r>
      <w:r>
        <w:t xml:space="preserve">the</w:t>
      </w:r>
      <w:r>
        <w:t xml:space="preserve"> </w:t>
      </w:r>
      <w:r>
        <w:rPr>
          <w:i/>
          <w:iCs/>
        </w:rPr>
        <w:t xml:space="preserve">same</w:t>
      </w:r>
      <w:r>
        <w:t xml:space="preserve"> </w:t>
      </w:r>
      <w:r>
        <w:t xml:space="preserve">hyperparameters as the canonical fit, so only the</w:t>
      </w:r>
      <w:r>
        <w:t xml:space="preserve"> </w:t>
      </w:r>
      <w:r>
        <w:t xml:space="preserve">band axis differs. The masked fit yields</w:t>
      </w:r>
      <w:r>
        <w:t xml:space="preserve"> </w:t>
      </w:r>
      <m:oMath>
        <m:sSup>
          <m:e>
            <m:r>
              <m:t>ϕ</m:t>
            </m:r>
          </m:e>
          <m:sup>
            <m:r>
              <m:rPr>
                <m:sty m:val="p"/>
              </m:rPr>
              <m:t>(</m:t>
            </m:r>
            <m:r>
              <m:t>m</m:t>
            </m:r>
            <m:r>
              <m:rPr>
                <m:sty m:val="p"/>
              </m:rPr>
              <m:t>)</m:t>
            </m:r>
          </m:sup>
        </m:sSup>
      </m:oMath>
      <w:r>
        <w:t xml:space="preserve">,</w:t>
      </w:r>
      <w:r>
        <w:t xml:space="preserve"> </w:t>
      </w:r>
      <m:oMath>
        <m:sSup>
          <m:e>
            <m:r>
              <m:t>θ</m:t>
            </m:r>
          </m:e>
          <m:sup>
            <m:r>
              <m:rPr>
                <m:sty m:val="p"/>
              </m:rPr>
              <m:t>(</m:t>
            </m:r>
            <m:r>
              <m:t>m</m:t>
            </m:r>
            <m:r>
              <m:rPr>
                <m:sty m:val="p"/>
              </m:rPr>
              <m:t>)</m:t>
            </m:r>
          </m:sup>
        </m:sSup>
      </m:oMath>
      <w:r>
        <w:t xml:space="preserve"> </w:t>
      </w:r>
      <w:r>
        <w:t xml:space="preserve">and a dominant-topic map</w:t>
      </w:r>
      <w:r>
        <w:t xml:space="preserve"> </w:t>
      </w:r>
      <m:oMath>
        <m:sSubSup>
          <m:e>
            <m:r>
              <m:t>z</m:t>
            </m:r>
          </m:e>
          <m:sub>
            <m:r>
              <m:t>d</m:t>
            </m:r>
          </m:sub>
          <m:sup>
            <m:r>
              <m:rPr>
                <m:sty m:val="p"/>
              </m:rPr>
              <m:t>(</m:t>
            </m:r>
            <m:r>
              <m:t>m</m:t>
            </m:r>
            <m:r>
              <m:rPr>
                <m:sty m:val="p"/>
              </m:rPr>
              <m:t>)</m:t>
            </m:r>
          </m:sup>
        </m:sSubSup>
      </m:oMath>
      <w:r>
        <w:t xml:space="preserve">.</w:t>
      </w:r>
    </w:p>
    <w:bookmarkEnd w:id="11"/>
    <w:bookmarkStart w:id="12" w:name="paired-ari-under-hungarian-alignment"/>
    <w:p>
      <w:pPr>
        <w:pStyle w:val="Heading2"/>
      </w:pPr>
      <w:r>
        <w:t xml:space="preserve">Paired ARI under Hungarian alignment</w:t>
      </w:r>
    </w:p>
    <w:p>
      <w:pPr>
        <w:pStyle w:val="FirstParagraph"/>
      </w:pPr>
      <w:r>
        <w:t xml:space="preserve">Let</w:t>
      </w:r>
      <w:r>
        <w:t xml:space="preserve"> </w:t>
      </w:r>
      <m:oMath>
        <m:r>
          <m:rPr>
            <m:scr m:val="script"/>
            <m:sty m:val="p"/>
          </m:rPr>
          <m:t>S</m:t>
        </m:r>
      </m:oMath>
      <w:r>
        <w:t xml:space="preserve"> </w:t>
      </w:r>
      <w:r>
        <w:t xml:space="preserve">be the set of pixels labelled in both the</w:t>
      </w:r>
      <w:r>
        <w:t xml:space="preserve"> </w:t>
      </w:r>
      <w:r>
        <w:t xml:space="preserve">canonical and masked maps (in practice both share the same labelled</w:t>
      </w:r>
      <w:r>
        <w:t xml:space="preserve"> </w:t>
      </w:r>
      <w:r>
        <w:t xml:space="preserve">mask). The</w:t>
      </w:r>
      <w:r>
        <w:t xml:space="preserve"> </w:t>
      </w:r>
      <w:r>
        <w:rPr>
          <w:i/>
          <w:iCs/>
        </w:rPr>
        <w:t xml:space="preserve">paired adjusted Rand index</w:t>
      </w:r>
      <w:r>
        <w:t xml:space="preserve"> </w:t>
      </w:r>
      <w:r>
        <w:t xml:space="preserve">on</w:t>
      </w:r>
      <w:r>
        <w:t xml:space="preserve"> </w:t>
      </w:r>
      <m:oMath>
        <m:r>
          <m:rPr>
            <m:scr m:val="script"/>
            <m:sty m:val="p"/>
          </m:rPr>
          <m:t>S</m:t>
        </m:r>
      </m:oMath>
      <w:r>
        <w:t xml:space="preserve"> </w:t>
      </w:r>
      <w:r>
        <w:t xml:space="preserve">is</w:t>
      </w:r>
    </w:p>
    <w:p>
      <w:pPr>
        <w:pStyle w:val="BodyText"/>
      </w:pPr>
      <m:oMathPara>
        <m:oMathParaPr>
          <m:jc m:val="center"/>
        </m:oMathParaPr>
        <m:oMath>
          <m:sSub>
            <m:e>
              <m:r>
                <m:rPr>
                  <m:nor/>
                  <m:sty m:val="p"/>
                </m:rPr>
                <m:t>ARI</m:t>
              </m:r>
            </m:e>
            <m:sub>
              <m:r>
                <m:rPr>
                  <m:nor/>
                  <m:sty m:val="p"/>
                </m:rPr>
                <m:t>paired</m:t>
              </m:r>
            </m:sub>
          </m:sSub>
          <m:r>
            <m:rPr>
              <m:sty m:val="p"/>
            </m:rPr>
            <m:t>=</m:t>
          </m:r>
          <m:r>
            <m:rPr>
              <m:nor/>
              <m:sty m:val="p"/>
            </m:rPr>
            <m:t>ARI</m:t>
          </m:r>
          <m:d>
            <m:dPr>
              <m:begChr m:val="("/>
              <m:sepChr m:val=""/>
              <m:endChr m:val=")"/>
              <m:grow/>
            </m:dPr>
            <m:e>
              <m:r>
                <m:rPr>
                  <m:sty m:val="p"/>
                </m:rPr>
                <m:t>{</m:t>
              </m:r>
              <m:sSub>
                <m:e>
                  <m:r>
                    <m:t>z</m:t>
                  </m:r>
                </m:e>
                <m:sub>
                  <m:r>
                    <m:t>d</m:t>
                  </m:r>
                </m:sub>
              </m:sSub>
              <m:sSub>
                <m:e>
                  <m:r>
                    <m:rPr>
                      <m:sty m:val="p"/>
                    </m:rPr>
                    <m:t>}</m:t>
                  </m:r>
                </m:e>
                <m:sub>
                  <m:r>
                    <m:t>d</m:t>
                  </m:r>
                  <m:r>
                    <m:rPr>
                      <m:sty m:val="p"/>
                    </m:rPr>
                    <m:t>∈</m:t>
                  </m:r>
                  <m:r>
                    <m:rPr>
                      <m:scr m:val="script"/>
                      <m:sty m:val="p"/>
                    </m:rPr>
                    <m:t>S</m:t>
                  </m:r>
                </m:sub>
              </m:sSub>
              <m:r>
                <m:rPr>
                  <m:sty m:val="p"/>
                </m:rPr>
                <m:t>,</m:t>
              </m:r>
              <m:r>
                <m:rPr>
                  <m:sty m:val="p"/>
                </m:rPr>
                <m:t>{</m:t>
              </m:r>
              <m:sSubSup>
                <m:e>
                  <m:r>
                    <m:t>z</m:t>
                  </m:r>
                </m:e>
                <m:sub>
                  <m:r>
                    <m:t>d</m:t>
                  </m:r>
                </m:sub>
                <m:sup>
                  <m:r>
                    <m:rPr>
                      <m:sty m:val="p"/>
                    </m:rPr>
                    <m:t>(</m:t>
                  </m:r>
                  <m:r>
                    <m:t>m</m:t>
                  </m:r>
                  <m:r>
                    <m:rPr>
                      <m:sty m:val="p"/>
                    </m:rPr>
                    <m:t>)</m:t>
                  </m:r>
                </m:sup>
              </m:sSubSup>
              <m:sSub>
                <m:e>
                  <m:r>
                    <m:rPr>
                      <m:sty m:val="p"/>
                    </m:rPr>
                    <m:t>}</m:t>
                  </m:r>
                </m:e>
                <m:sub>
                  <m:r>
                    <m:t>d</m:t>
                  </m:r>
                  <m:r>
                    <m:rPr>
                      <m:sty m:val="p"/>
                    </m:rPr>
                    <m:t>∈</m:t>
                  </m:r>
                  <m:r>
                    <m:rPr>
                      <m:scr m:val="script"/>
                      <m:sty m:val="p"/>
                    </m:rPr>
                    <m:t>S</m:t>
                  </m:r>
                </m:sub>
              </m:sSub>
            </m:e>
          </m:d>
          <m:r>
            <m:rPr>
              <m:sty m:val="p"/>
            </m:rPr>
            <m:t>,</m:t>
          </m:r>
        </m:oMath>
      </m:oMathPara>
    </w:p>
    <w:p>
      <w:pPr>
        <w:pStyle w:val="FirstParagraph"/>
      </w:pPr>
      <w:r>
        <w:t xml:space="preserve">where ARI is the standard chance-corrected agreement of</w:t>
      </w:r>
      <w:r>
        <w:t xml:space="preserve"> </w:t>
      </w:r>
      <w:r>
        <w:t xml:space="preserve">(Hubert and Arabie 1985; Vinh et al. 2010)</w:t>
      </w:r>
      <w:r>
        <w:t xml:space="preserve">.</w:t>
      </w:r>
    </w:p>
    <w:p>
      <w:pPr>
        <w:pStyle w:val="BodyText"/>
      </w:pPr>
      <w:r>
        <w:t xml:space="preserve">Because ARI is invariant to topic-id permutations, it summarises</w:t>
      </w:r>
      <w:r>
        <w:t xml:space="preserve"> </w:t>
      </w:r>
      <w:r>
        <w:t xml:space="preserve">“how much did the clustering change”</w:t>
      </w:r>
      <w:r>
        <w:t xml:space="preserve"> </w:t>
      </w:r>
      <w:r>
        <w:t xml:space="preserve">but not</w:t>
      </w:r>
      <w:r>
        <w:t xml:space="preserve"> </w:t>
      </w:r>
      <w:r>
        <w:t xml:space="preserve">“which masked topic</w:t>
      </w:r>
      <w:r>
        <w:t xml:space="preserve"> </w:t>
      </w:r>
      <w:r>
        <w:t xml:space="preserve">corresponds to which canonical topic”</w:t>
      </w:r>
      <w:r>
        <w:t xml:space="preserve">. For the latter we compute</w:t>
      </w:r>
      <w:r>
        <w:t xml:space="preserve"> </w:t>
      </w:r>
      <w:r>
        <w:t xml:space="preserve">the confusion matrix</w:t>
      </w:r>
      <w:r>
        <w:t xml:space="preserve"> </w:t>
      </w:r>
      <m:oMath>
        <m:r>
          <m:t>C</m:t>
        </m:r>
        <m:r>
          <m:rPr>
            <m:sty m:val="p"/>
          </m:rPr>
          <m:t>∈</m:t>
        </m:r>
        <m:sSubSup>
          <m:e>
            <m:r>
              <m:rPr>
                <m:scr m:val="double-struck"/>
                <m:sty m:val="p"/>
              </m:rPr>
              <m:t>Z</m:t>
            </m:r>
          </m:e>
          <m:sub>
            <m:r>
              <m:rPr>
                <m:sty m:val="p"/>
              </m:rPr>
              <m:t>≥</m:t>
            </m:r>
            <m:r>
              <m:t>0</m:t>
            </m:r>
          </m:sub>
          <m:sup>
            <m:r>
              <m:t>K</m:t>
            </m:r>
            <m:r>
              <m:rPr>
                <m:sty m:val="p"/>
              </m:rPr>
              <m:t>×</m:t>
            </m:r>
            <m:sSup>
              <m:e>
                <m:r>
                  <m:t>K</m:t>
                </m:r>
              </m:e>
              <m:sup>
                <m:r>
                  <m:rPr>
                    <m:sty m:val="p"/>
                  </m:rPr>
                  <m:t>(</m:t>
                </m:r>
                <m:r>
                  <m:t>m</m:t>
                </m:r>
                <m:r>
                  <m:rPr>
                    <m:sty m:val="p"/>
                  </m:rPr>
                  <m:t>)</m:t>
                </m:r>
              </m:sup>
            </m:sSup>
          </m:sup>
        </m:sSubSup>
      </m:oMath>
      <w:r>
        <w:t xml:space="preserve"> </w:t>
      </w:r>
      <w:r>
        <w:t xml:space="preserve">with</w:t>
      </w:r>
      <w:r>
        <w:t xml:space="preserve"> </w:t>
      </w:r>
      <m:oMath>
        <m:sSub>
          <m:e>
            <m:r>
              <m:t>C</m:t>
            </m:r>
          </m:e>
          <m:sub>
            <m:r>
              <m:t>k</m:t>
            </m:r>
            <m:r>
              <m:rPr>
                <m:sty m:val="p"/>
              </m:rPr>
              <m:t>,</m:t>
            </m:r>
            <m:r>
              <m:t>j</m:t>
            </m:r>
          </m:sub>
        </m:sSub>
        <m:r>
          <m:rPr>
            <m:sty m:val="p"/>
          </m:rPr>
          <m:t>=</m:t>
        </m:r>
        <m:r>
          <m:rPr>
            <m:sty m:val="p"/>
          </m:rPr>
          <m:t>|</m:t>
        </m:r>
        <m:r>
          <m:rPr>
            <m:sty m:val="p"/>
          </m:rPr>
          <m:t>{</m:t>
        </m:r>
        <m:r>
          <m:t>d</m:t>
        </m:r>
        <m:r>
          <m:rPr>
            <m:sty m:val="p"/>
          </m:rPr>
          <m:t>∈</m:t>
        </m:r>
        <m:r>
          <m:rPr>
            <m:scr m:val="script"/>
            <m:sty m:val="p"/>
          </m:rPr>
          <m:t>S</m:t>
        </m:r>
        <m:r>
          <m:rPr>
            <m:sty m:val="p"/>
          </m:rPr>
          <m:t>:</m:t>
        </m:r>
        <m:sSub>
          <m:e>
            <m:r>
              <m:t>z</m:t>
            </m:r>
          </m:e>
          <m:sub>
            <m:r>
              <m:t>d</m:t>
            </m:r>
          </m:sub>
        </m:sSub>
        <m:r>
          <m:rPr>
            <m:sty m:val="p"/>
          </m:rPr>
          <m:t>=</m:t>
        </m:r>
        <m:r>
          <m:t>k</m:t>
        </m:r>
        <m:r>
          <m:rPr>
            <m:sty m:val="p"/>
          </m:rPr>
          <m:t>∧</m:t>
        </m:r>
        <m:sSubSup>
          <m:e>
            <m:r>
              <m:t>z</m:t>
            </m:r>
          </m:e>
          <m:sub>
            <m:r>
              <m:t>d</m:t>
            </m:r>
          </m:sub>
          <m:sup>
            <m:r>
              <m:rPr>
                <m:sty m:val="p"/>
              </m:rPr>
              <m:t>(</m:t>
            </m:r>
            <m:r>
              <m:t>m</m:t>
            </m:r>
            <m:r>
              <m:rPr>
                <m:sty m:val="p"/>
              </m:rPr>
              <m:t>)</m:t>
            </m:r>
          </m:sup>
        </m:sSubSup>
        <m:r>
          <m:rPr>
            <m:sty m:val="p"/>
          </m:rPr>
          <m:t>=</m:t>
        </m:r>
        <m:r>
          <m:t>j</m:t>
        </m:r>
        <m:r>
          <m:rPr>
            <m:sty m:val="p"/>
          </m:rPr>
          <m:t>}</m:t>
        </m:r>
        <m:r>
          <m:rPr>
            <m:sty m:val="p"/>
          </m:rPr>
          <m:t>|</m:t>
        </m:r>
      </m:oMath>
      <w:r>
        <w:t xml:space="preserve"> </w:t>
      </w:r>
      <w:r>
        <w:t xml:space="preserve">and solve the maximum-weight assignment</w:t>
      </w:r>
    </w:p>
    <w:p>
      <w:pPr>
        <w:pStyle w:val="BodyText"/>
      </w:pPr>
      <m:oMathPara>
        <m:oMathParaPr>
          <m:jc m:val="center"/>
        </m:oMathParaPr>
        <m:oMath>
          <m:sSup>
            <m:e>
              <m:r>
                <m:t>σ</m:t>
              </m:r>
            </m:e>
            <m:sup>
              <m:r>
                <m:rPr>
                  <m:sty m:val="p"/>
                </m:rPr>
                <m:t>*</m:t>
              </m:r>
            </m:sup>
          </m:sSup>
          <m:r>
            <m:rPr>
              <m:sty m:val="p"/>
            </m:rPr>
            <m:t>=</m:t>
          </m:r>
          <m:r>
            <m:rPr>
              <m:sty m:val="p"/>
            </m:rPr>
            <m:t>arg</m:t>
          </m:r>
          <m:limLow>
            <m:e>
              <m:r>
                <m:rPr>
                  <m:sty m:val="p"/>
                </m:rPr>
                <m:t>max</m:t>
              </m:r>
            </m:e>
            <m:lim>
              <m:r>
                <m:t>σ</m:t>
              </m:r>
            </m:lim>
          </m:limLow>
          <m:nary>
            <m:naryPr>
              <m:chr m:val="∑"/>
              <m:limLoc m:val="undOvr"/>
              <m:subHide m:val="off"/>
              <m:supHide m:val="on"/>
            </m:naryPr>
            <m:sub>
              <m:r>
                <m:t>k</m:t>
              </m:r>
            </m:sub>
            <m:sup>
              <m:r>
                <m:t>​</m:t>
              </m:r>
            </m:sup>
            <m:e>
              <m:sSub>
                <m:e>
                  <m:r>
                    <m:t>C</m:t>
                  </m:r>
                </m:e>
                <m:sub>
                  <m:r>
                    <m:t>k</m:t>
                  </m:r>
                  <m:r>
                    <m:rPr>
                      <m:sty m:val="p"/>
                    </m:rPr>
                    <m:t>,</m:t>
                  </m:r>
                  <m:r>
                    <m:t>σ</m:t>
                  </m:r>
                  <m:r>
                    <m:rPr>
                      <m:sty m:val="p"/>
                    </m:rPr>
                    <m:t>(</m:t>
                  </m:r>
                  <m:r>
                    <m:t>k</m:t>
                  </m:r>
                  <m:r>
                    <m:rPr>
                      <m:sty m:val="p"/>
                    </m:rPr>
                    <m:t>)</m:t>
                  </m:r>
                </m:sub>
              </m:sSub>
            </m:e>
          </m:nary>
        </m:oMath>
      </m:oMathPara>
    </w:p>
    <w:p>
      <w:pPr>
        <w:pStyle w:val="FirstParagraph"/>
      </w:pPr>
      <w:r>
        <w:t xml:space="preserve">via the Hungarian algorithm</w:t>
      </w:r>
      <w:r>
        <w:t xml:space="preserve"> </w:t>
      </w:r>
      <w:r>
        <w:t xml:space="preserve">(Kuhn 1955; SciPy Developers 2024)</w:t>
      </w:r>
      <w:r>
        <w:t xml:space="preserve">. The</w:t>
      </w:r>
      <w:r>
        <w:t xml:space="preserve"> </w:t>
      </w:r>
      <w:r>
        <w:rPr>
          <w:i/>
          <w:iCs/>
        </w:rPr>
        <w:t xml:space="preserve">swap rate under alignment</w:t>
      </w:r>
      <w:r>
        <w:t xml:space="preserve"> </w:t>
      </w:r>
      <w:r>
        <w:t xml:space="preserve">is then</w:t>
      </w:r>
    </w:p>
    <w:p>
      <w:pPr>
        <w:pStyle w:val="BodyText"/>
      </w:pPr>
      <m:oMathPara>
        <m:oMathParaPr>
          <m:jc m:val="center"/>
        </m:oMathParaPr>
        <m:oMath>
          <m:r>
            <m:rPr>
              <m:nor/>
              <m:sty m:val="p"/>
            </m:rPr>
            <m:t>swap_rate</m:t>
          </m:r>
          <m:r>
            <m:rPr>
              <m:sty m:val="p"/>
            </m:rPr>
            <m:t>=</m:t>
          </m:r>
          <m:f>
            <m:fPr>
              <m:type m:val="bar"/>
            </m:fPr>
            <m:num>
              <m:r>
                <m:t>1</m:t>
              </m:r>
            </m:num>
            <m:den>
              <m:r>
                <m:rPr>
                  <m:sty m:val="p"/>
                </m:rPr>
                <m:t>|</m:t>
              </m:r>
              <m:r>
                <m:rPr>
                  <m:scr m:val="script"/>
                  <m:sty m:val="p"/>
                </m:rPr>
                <m:t>S</m:t>
              </m:r>
              <m:r>
                <m:rPr>
                  <m:sty m:val="p"/>
                </m:rPr>
                <m:t>|</m:t>
              </m:r>
            </m:den>
          </m:f>
          <m:nary>
            <m:naryPr>
              <m:chr m:val="∑"/>
              <m:limLoc m:val="undOvr"/>
              <m:subHide m:val="off"/>
              <m:supHide m:val="on"/>
            </m:naryPr>
            <m:sub>
              <m:r>
                <m:t>d</m:t>
              </m:r>
              <m:r>
                <m:rPr>
                  <m:sty m:val="p"/>
                </m:rPr>
                <m:t>∈</m:t>
              </m:r>
              <m:r>
                <m:rPr>
                  <m:scr m:val="script"/>
                  <m:sty m:val="p"/>
                </m:rPr>
                <m:t>S</m:t>
              </m:r>
            </m:sub>
            <m:sup>
              <m:r>
                <m:t>​</m:t>
              </m:r>
            </m:sup>
            <m:e>
              <m:r>
                <m:rPr>
                  <m:sty m:val="b"/>
                </m:rPr>
                <m:t>1</m:t>
              </m:r>
            </m:e>
          </m:nary>
          <m:r>
            <m:rPr>
              <m:sty m:val="p"/>
            </m:rPr>
            <m:t>[</m:t>
          </m:r>
          <m:sSubSup>
            <m:e>
              <m:r>
                <m:t>z</m:t>
              </m:r>
            </m:e>
            <m:sub>
              <m:r>
                <m:t>d</m:t>
              </m:r>
            </m:sub>
            <m:sup>
              <m:r>
                <m:rPr>
                  <m:sty m:val="p"/>
                </m:rPr>
                <m:t>(</m:t>
              </m:r>
              <m:r>
                <m:t>m</m:t>
              </m:r>
              <m:r>
                <m:rPr>
                  <m:sty m:val="p"/>
                </m:rPr>
                <m:t>)</m:t>
              </m:r>
            </m:sup>
          </m:sSubSup>
          <m:r>
            <m:rPr>
              <m:sty m:val="p"/>
            </m:rPr>
            <m:t>≠</m:t>
          </m:r>
          <m:sSup>
            <m:e>
              <m:r>
                <m:t>σ</m:t>
              </m:r>
            </m:e>
            <m:sup>
              <m:r>
                <m:rPr>
                  <m:sty m:val="p"/>
                </m:rPr>
                <m:t>*</m:t>
              </m:r>
            </m:sup>
          </m:sSup>
          <m:r>
            <m:rPr>
              <m:sty m:val="p"/>
            </m:rPr>
            <m:t>(</m:t>
          </m:r>
          <m:sSub>
            <m:e>
              <m:r>
                <m:t>z</m:t>
              </m:r>
            </m:e>
            <m:sub>
              <m:r>
                <m:t>d</m:t>
              </m:r>
            </m:sub>
          </m:sSub>
          <m:r>
            <m:rPr>
              <m:sty m:val="p"/>
            </m:rPr>
            <m:t>)</m:t>
          </m:r>
          <m:r>
            <m:rPr>
              <m:sty m:val="p"/>
            </m:rPr>
            <m:t>]</m:t>
          </m:r>
          <m:r>
            <m:rPr>
              <m:sty m:val="p"/>
            </m:rPr>
            <m:t>,</m:t>
          </m:r>
        </m:oMath>
      </m:oMathPara>
    </w:p>
    <w:p>
      <w:pPr>
        <w:pStyle w:val="FirstParagraph"/>
      </w:pPr>
      <w:r>
        <w:t xml:space="preserve">the fraction of pixels whose dominant topic still changes</w:t>
      </w:r>
      <w:r>
        <w:t xml:space="preserve"> </w:t>
      </w:r>
      <w:r>
        <w:t xml:space="preserve">after the masked topic ids have been relabelled to maximise agreement</w:t>
      </w:r>
      <w:r>
        <w:t xml:space="preserve"> </w:t>
      </w:r>
      <w:r>
        <w:t xml:space="preserve">with the canonical map. The paired ARI summarises gross agreement;</w:t>
      </w:r>
      <w:r>
        <w:t xml:space="preserve"> </w:t>
      </w:r>
      <w:r>
        <w:t xml:space="preserve">the swap rate isolates the</w:t>
      </w:r>
      <w:r>
        <w:t xml:space="preserve"> </w:t>
      </w:r>
      <w:r>
        <w:rPr>
          <w:i/>
          <w:iCs/>
        </w:rPr>
        <w:t xml:space="preserve">residual</w:t>
      </w:r>
      <w:r>
        <w:t xml:space="preserve"> </w:t>
      </w:r>
      <w:r>
        <w:t xml:space="preserve">disagreement that survives</w:t>
      </w:r>
      <w:r>
        <w:t xml:space="preserve"> </w:t>
      </w:r>
      <w:r>
        <w:t xml:space="preserve">permutation realignment.</w:t>
      </w:r>
    </w:p>
    <w:bookmarkEnd w:id="12"/>
    <w:bookmarkEnd w:id="13"/>
    <w:bookmarkStart w:id="16" w:name="sec:setup"/>
    <w:p>
      <w:pPr>
        <w:pStyle w:val="Heading1"/>
      </w:pPr>
      <w:r>
        <w:t xml:space="preserve">Experimental setup</w:t>
      </w:r>
    </w:p>
    <w:bookmarkStart w:id="14" w:name="scenes-and-subsets"/>
    <w:p>
      <w:pPr>
        <w:pStyle w:val="Heading2"/>
      </w:pPr>
      <w:r>
        <w:t xml:space="preserve">Scenes and subsets</w:t>
      </w:r>
    </w:p>
    <w:p>
      <w:pPr>
        <w:pStyle w:val="FirstParagraph"/>
      </w:pPr>
      <w:r>
        <w:t xml:space="preserve">We evaluate on the six standard labelled HSI benchmarks of the</w:t>
      </w:r>
      <w:r>
        <w:t xml:space="preserve"> </w:t>
      </w:r>
      <w:r>
        <w:t xml:space="preserve">UPV/EHU Hyperspectral Remote Sensing Scenes collection</w:t>
      </w:r>
      <w:r>
        <w:t xml:space="preserve"> </w:t>
      </w:r>
      <w:r>
        <w:t xml:space="preserve">(Baumgardner et al. 2015; NASA/JPL Airborne Visible/Infrared Imaging Spectrometer Project 1998, 1996; German Aerospace Center (DLR) ROSIS sensor 2003; NASA EO-1 Hyperion Mission 2001)</w:t>
      </w:r>
      <w:r>
        <w:t xml:space="preserve">:</w:t>
      </w:r>
    </w:p>
    <w:p>
      <w:pPr>
        <w:numPr>
          <w:ilvl w:val="0"/>
          <w:numId w:val="1004"/>
        </w:numPr>
      </w:pPr>
      <w:r>
        <w:rPr>
          <w:b/>
          <w:bCs/>
        </w:rPr>
        <w:t xml:space="preserve">Indian Pines</w:t>
      </w:r>
      <w:r>
        <w:t xml:space="preserve"> </w:t>
      </w:r>
      <w:r>
        <w:t xml:space="preserve">(200 bands after correction,</w:t>
      </w:r>
      <w:r>
        <w:t xml:space="preserve"> </w:t>
      </w:r>
      <m:oMath>
        <m:r>
          <m:t>145</m:t>
        </m:r>
        <m:r>
          <m:rPr>
            <m:sty m:val="p"/>
          </m:rPr>
          <m:t>×</m:t>
        </m:r>
        <m:r>
          <m:t>145</m:t>
        </m:r>
      </m:oMath>
      <w:r>
        <w:t xml:space="preserve">, 16 classes),</w:t>
      </w:r>
    </w:p>
    <w:p>
      <w:pPr>
        <w:numPr>
          <w:ilvl w:val="0"/>
          <w:numId w:val="1004"/>
        </w:numPr>
      </w:pPr>
      <w:r>
        <w:rPr>
          <w:b/>
          <w:bCs/>
        </w:rPr>
        <w:t xml:space="preserve">Salinas</w:t>
      </w:r>
      <w:r>
        <w:t xml:space="preserve"> </w:t>
      </w:r>
      <w:r>
        <w:t xml:space="preserve">(204 bands,</w:t>
      </w:r>
      <w:r>
        <w:t xml:space="preserve"> </w:t>
      </w:r>
      <m:oMath>
        <m:r>
          <m:t>512</m:t>
        </m:r>
        <m:r>
          <m:rPr>
            <m:sty m:val="p"/>
          </m:rPr>
          <m:t>×</m:t>
        </m:r>
        <m:r>
          <m:t>217</m:t>
        </m:r>
      </m:oMath>
      <w:r>
        <w:t xml:space="preserve">, 16 classes),</w:t>
      </w:r>
    </w:p>
    <w:p>
      <w:pPr>
        <w:numPr>
          <w:ilvl w:val="0"/>
          <w:numId w:val="1004"/>
        </w:numPr>
      </w:pPr>
      <w:r>
        <w:rPr>
          <w:b/>
          <w:bCs/>
        </w:rPr>
        <w:t xml:space="preserve">Salinas-A</w:t>
      </w:r>
      <w:r>
        <w:t xml:space="preserve"> </w:t>
      </w:r>
      <w:r>
        <w:t xml:space="preserve">(204 bands,</w:t>
      </w:r>
      <w:r>
        <w:t xml:space="preserve"> </w:t>
      </w:r>
      <m:oMath>
        <m:r>
          <m:t>83</m:t>
        </m:r>
        <m:r>
          <m:rPr>
            <m:sty m:val="p"/>
          </m:rPr>
          <m:t>×</m:t>
        </m:r>
        <m:r>
          <m:t>86</m:t>
        </m:r>
      </m:oMath>
      <w:r>
        <w:t xml:space="preserve">, 6 classes;</w:t>
      </w:r>
      <w:r>
        <w:t xml:space="preserve"> </w:t>
      </w:r>
      <w:r>
        <w:t xml:space="preserve">a subset of Salinas),</w:t>
      </w:r>
    </w:p>
    <w:p>
      <w:pPr>
        <w:numPr>
          <w:ilvl w:val="0"/>
          <w:numId w:val="1004"/>
        </w:numPr>
      </w:pPr>
      <w:r>
        <w:rPr>
          <w:b/>
          <w:bCs/>
        </w:rPr>
        <w:t xml:space="preserve">Pavia University</w:t>
      </w:r>
      <w:r>
        <w:t xml:space="preserve"> </w:t>
      </w:r>
      <w:r>
        <w:t xml:space="preserve">(103 bands,</w:t>
      </w:r>
      <w:r>
        <w:t xml:space="preserve"> </w:t>
      </w:r>
      <m:oMath>
        <m:r>
          <m:t>610</m:t>
        </m:r>
        <m:r>
          <m:rPr>
            <m:sty m:val="p"/>
          </m:rPr>
          <m:t>×</m:t>
        </m:r>
        <m:r>
          <m:t>340</m:t>
        </m:r>
      </m:oMath>
      <w:r>
        <w:t xml:space="preserve">,</w:t>
      </w:r>
      <w:r>
        <w:t xml:space="preserve"> </w:t>
      </w:r>
      <w:r>
        <w:t xml:space="preserve">9 classes; VNIR-only),</w:t>
      </w:r>
    </w:p>
    <w:p>
      <w:pPr>
        <w:numPr>
          <w:ilvl w:val="0"/>
          <w:numId w:val="1004"/>
        </w:numPr>
      </w:pPr>
      <w:r>
        <w:rPr>
          <w:b/>
          <w:bCs/>
        </w:rPr>
        <w:t xml:space="preserve">Kennedy Space Center</w:t>
      </w:r>
      <w:r>
        <w:t xml:space="preserve"> </w:t>
      </w:r>
      <w:r>
        <w:t xml:space="preserve">(176 bands,</w:t>
      </w:r>
      <w:r>
        <w:t xml:space="preserve"> </w:t>
      </w:r>
      <m:oMath>
        <m:r>
          <m:t>512</m:t>
        </m:r>
        <m:r>
          <m:rPr>
            <m:sty m:val="p"/>
          </m:rPr>
          <m:t>×</m:t>
        </m:r>
        <m:r>
          <m:t>614</m:t>
        </m:r>
      </m:oMath>
      <w:r>
        <w:t xml:space="preserve">,</w:t>
      </w:r>
      <w:r>
        <w:t xml:space="preserve"> </w:t>
      </w:r>
      <w:r>
        <w:t xml:space="preserve">13 classes),</w:t>
      </w:r>
    </w:p>
    <w:p>
      <w:pPr>
        <w:numPr>
          <w:ilvl w:val="0"/>
          <w:numId w:val="1004"/>
        </w:numPr>
      </w:pPr>
      <w:r>
        <w:rPr>
          <w:b/>
          <w:bCs/>
        </w:rPr>
        <w:t xml:space="preserve">Botswana</w:t>
      </w:r>
      <w:r>
        <w:t xml:space="preserve"> </w:t>
      </w:r>
      <w:r>
        <w:t xml:space="preserve">(145 bands,</w:t>
      </w:r>
      <w:r>
        <w:t xml:space="preserve"> </w:t>
      </w:r>
      <m:oMath>
        <m:r>
          <m:t>1476</m:t>
        </m:r>
        <m:r>
          <m:rPr>
            <m:sty m:val="p"/>
          </m:rPr>
          <m:t>×</m:t>
        </m:r>
        <m:r>
          <m:t>256</m:t>
        </m:r>
      </m:oMath>
      <w:r>
        <w:t xml:space="preserve">, 14 classes).</w:t>
      </w:r>
    </w:p>
    <w:p>
      <w:pPr>
        <w:pStyle w:val="FirstParagraph"/>
      </w:pPr>
      <w:r>
        <w:t xml:space="preserve">The Pavia U scene is VNIR-only by sensor design and therefore</w:t>
      </w:r>
      <w:r>
        <w:t xml:space="preserve"> </w:t>
      </w:r>
      <w:r>
        <w:t xml:space="preserve">auto-skips the SWIR mask (zero bands kept after restriction); all</w:t>
      </w:r>
      <w:r>
        <w:t xml:space="preserve"> </w:t>
      </w:r>
      <w:r>
        <w:t xml:space="preserve">remaining 23 (scene, mask) tuples produce a valid refit.</w:t>
      </w:r>
    </w:p>
    <w:p>
      <w:pPr>
        <w:pStyle w:val="BodyText"/>
      </w:pPr>
      <w:r>
        <w:t xml:space="preserve">We additionally evaluate on five HIDSAG mineral subsets</w:t>
      </w:r>
      <w:r>
        <w:t xml:space="preserve"> </w:t>
      </w:r>
      <w:r>
        <w:t xml:space="preserve">(Ehrenfeld et al. 2023; Ehrenfeld 2023)</w:t>
      </w:r>
      <w:r>
        <w:t xml:space="preserve"> </w:t>
      </w:r>
      <w:r>
        <w:t xml:space="preserve">(GEOMET, MINERAL1, MINERAL2,</w:t>
      </w:r>
      <w:r>
        <w:t xml:space="preserve"> </w:t>
      </w:r>
      <w:r>
        <w:t xml:space="preserve">GEOCHEM, PORPHYRY) under the same four masks.</w:t>
      </w:r>
      <w:r>
        <w:t xml:space="preserve"> </w:t>
      </w:r>
      <w:r>
        <w:t xml:space="preserve">HIDSAG documents are mean spectra per (sample, measurement, cube)</w:t>
      </w:r>
      <w:r>
        <w:t xml:space="preserve"> </w:t>
      </w:r>
      <w:r>
        <w:t xml:space="preserve">on the</w:t>
      </w:r>
      <w:r>
        <w:t xml:space="preserve"> </w:t>
      </w:r>
      <w:r>
        <w:rPr>
          <w:rStyle w:val="VerbatimChar"/>
        </w:rPr>
        <w:t xml:space="preserve">swir_low</w:t>
      </w:r>
      <w:r>
        <w:t xml:space="preserve"> </w:t>
      </w:r>
      <w:r>
        <w:t xml:space="preserve">modality. Where the labelled-scene Fisher</w:t>
      </w:r>
      <w:r>
        <w:t xml:space="preserve"> </w:t>
      </w:r>
      <w:r>
        <w:t xml:space="preserve">mask uses per-pixel label, the HIDSAG variant uses</w:t>
      </w:r>
      <w:r>
        <w:t xml:space="preserve"> </w:t>
      </w:r>
      <w:r>
        <w:rPr>
          <w:i/>
          <w:iCs/>
        </w:rPr>
        <w:t xml:space="preserve">between-covariate variance share</w:t>
      </w:r>
      <w:r>
        <w:t xml:space="preserve"> </w:t>
      </w:r>
      <w:r>
        <w:t xml:space="preserve">(a clustering-discriminative</w:t>
      </w:r>
      <w:r>
        <w:t xml:space="preserve"> </w:t>
      </w:r>
      <w:r>
        <w:t xml:space="preserve">proxy, since HIDSAG has no per-pixel ground truth).</w:t>
      </w:r>
    </w:p>
    <w:bookmarkEnd w:id="14"/>
    <w:bookmarkStart w:id="15" w:name="metrics-reported"/>
    <w:p>
      <w:pPr>
        <w:pStyle w:val="Heading2"/>
      </w:pPr>
      <w:r>
        <w:t xml:space="preserve">Metrics reported</w:t>
      </w:r>
    </w:p>
    <w:p>
      <w:pPr>
        <w:pStyle w:val="FirstParagraph"/>
      </w:pPr>
      <w:r>
        <w:t xml:space="preserve">For every (scene, mask) tuple we compute:</w:t>
      </w:r>
      <w:r>
        <w:t xml:space="preserve"> </w:t>
      </w:r>
      <w:r>
        <w:t xml:space="preserve">(i) the paired ARI of Equation </w:t>
      </w:r>
      <w:hyperlink w:anchor="eq:paired-ari">
        <w:r>
          <w:rPr>
            <w:rStyle w:val="Hyperlink"/>
          </w:rPr>
          <w:t xml:space="preserve">[eq:paired-ari]</w:t>
        </w:r>
      </w:hyperlink>
      <w:r>
        <w:t xml:space="preserve">;</w:t>
      </w:r>
      <w:r>
        <w:t xml:space="preserve"> </w:t>
      </w:r>
      <w:r>
        <w:t xml:space="preserve">(ii) the swap rate under Hungarian alignment of Equation </w:t>
      </w:r>
      <w:hyperlink w:anchor="eq:swap-rate">
        <w:r>
          <w:rPr>
            <w:rStyle w:val="Hyperlink"/>
          </w:rPr>
          <w:t xml:space="preserve">[eq:swap-rate]</w:t>
        </w:r>
      </w:hyperlink>
      <w:r>
        <w:t xml:space="preserve">;</w:t>
      </w:r>
      <w:r>
        <w:t xml:space="preserve"> </w:t>
      </w:r>
      <w:r>
        <w:t xml:space="preserve">(iii) the train-set perplexity of the masked fit;</w:t>
      </w:r>
      <w:r>
        <w:t xml:space="preserve"> </w:t>
      </w:r>
      <w:r>
        <w:t xml:space="preserve">(iv) the ARI of the masked dominant-topic map against the</w:t>
      </w:r>
      <w:r>
        <w:t xml:space="preserve"> </w:t>
      </w:r>
      <w:r>
        <w:t xml:space="preserve">ground-truth label (a sanity check that the masked fit still</w:t>
      </w:r>
      <w:r>
        <w:t xml:space="preserve"> </w:t>
      </w:r>
      <w:r>
        <w:t xml:space="preserve">discriminates the same classes as the canonical fit).</w:t>
      </w:r>
      <w:r>
        <w:t xml:space="preserve"> </w:t>
      </w:r>
      <w:r>
        <w:t xml:space="preserve">Section </w:t>
      </w:r>
      <w:hyperlink w:anchor="sec:results">
        <w:r>
          <w:rPr>
            <w:rStyle w:val="Hyperlink"/>
          </w:rPr>
          <w:t xml:space="preserve">4</w:t>
        </w:r>
      </w:hyperlink>
      <w:r>
        <w:t xml:space="preserve"> </w:t>
      </w:r>
      <w:r>
        <w:t xml:space="preserve">reports (i) and (ii); (iii) and (iv) are</w:t>
      </w:r>
      <w:r>
        <w:t xml:space="preserve"> </w:t>
      </w:r>
      <w:r>
        <w:t xml:space="preserve">recorded in the per-tuple artefacts described in</w:t>
      </w:r>
      <w:r>
        <w:t xml:space="preserve"> </w:t>
      </w:r>
      <w:r>
        <w:t xml:space="preserve">Section </w:t>
      </w:r>
      <w:hyperlink w:anchor="sec:repro">
        <w:r>
          <w:rPr>
            <w:rStyle w:val="Hyperlink"/>
          </w:rPr>
          <w:t xml:space="preserve">6</w:t>
        </w:r>
      </w:hyperlink>
      <w:r>
        <w:t xml:space="preserve">.</w:t>
      </w:r>
    </w:p>
    <w:bookmarkEnd w:id="15"/>
    <w:bookmarkEnd w:id="16"/>
    <w:bookmarkStart w:id="27" w:name="sec:results"/>
    <w:p>
      <w:pPr>
        <w:pStyle w:val="Heading1"/>
      </w:pPr>
      <w:r>
        <w:t xml:space="preserve">Results</w:t>
      </w:r>
    </w:p>
    <w:bookmarkStart w:id="20" w:name="fig:paired-ari-heatmap"/>
    <w:p>
      <w:pPr>
        <w:pStyle w:val="CaptionedFigure"/>
      </w:pPr>
      <w:r>
        <w:drawing>
          <wp:inline>
            <wp:extent cx="4572000" cy="3657600"/>
            <wp:effectExtent b="0" l="0" r="0" t="0"/>
            <wp:docPr descr="" title="" id="18" name="Picture"/>
            <a:graphic>
              <a:graphicData uri="http://schemas.openxmlformats.org/drawingml/2006/picture">
                <pic:pic>
                  <pic:nvPicPr>
                    <pic:cNvPr descr="paired-ari-heatmap.pdf" id="19" name="Picture"/>
                    <pic:cNvPicPr>
                      <a:picLocks noChangeArrowheads="1" noChangeAspect="1"/>
                    </pic:cNvPicPr>
                  </pic:nvPicPr>
                  <pic:blipFill>
                    <a:blip r:embed="rId17"/>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r>
        <w:t xml:space="preserve">Paired ARI across (scene, mask) tuples on the six labelled</w:t>
      </w:r>
      <w:r>
        <w:t xml:space="preserve"> </w:t>
      </w:r>
      <w:r>
        <w:t xml:space="preserve">benchmarks. KSC paired ARI is</w:t>
      </w:r>
      <w:r>
        <w:t xml:space="preserve"> </w:t>
      </w:r>
      <m:oMath>
        <m:r>
          <m:rPr>
            <m:sty m:val="p"/>
          </m:rPr>
          <m:t>≈</m:t>
        </m:r>
        <m:r>
          <m:t>0.01</m:t>
        </m:r>
      </m:oMath>
      <w:r>
        <w:t xml:space="preserve"> </w:t>
      </w:r>
      <w:r>
        <w:t xml:space="preserve">across all four masks</w:t>
      </w:r>
      <w:r>
        <w:t xml:space="preserve"> </w:t>
      </w:r>
      <w:r>
        <w:t xml:space="preserve">(Botswana only under SWIR;</w:t>
      </w:r>
      <w:r>
        <w:t xml:space="preserve"> </w:t>
      </w:r>
      <m:oMath>
        <m:r>
          <m:t>0.11</m:t>
        </m:r>
      </m:oMath>
      <w:r>
        <w:t xml:space="preserve">–</w:t>
      </w:r>
      <m:oMath>
        <m:r>
          <m:t>0.13</m:t>
        </m:r>
      </m:oMath>
      <w:r>
        <w:t xml:space="preserve"> </w:t>
      </w:r>
      <w:r>
        <w:t xml:space="preserve">under the other three);</w:t>
      </w:r>
      <w:r>
        <w:t xml:space="preserve"> </w:t>
      </w:r>
      <w:r>
        <w:t xml:space="preserve">Salinas-A under SWIR-only reaches</w:t>
      </w:r>
      <w:r>
        <w:t xml:space="preserve"> </w:t>
      </w:r>
      <m:oMath>
        <m:r>
          <m:t>0.77</m:t>
        </m:r>
      </m:oMath>
      <w:r>
        <w:t xml:space="preserve">.</w:t>
      </w:r>
    </w:p>
    <w:bookmarkEnd w:id="20"/>
    <w:p>
      <w:pPr>
        <w:pStyle w:val="BodyText"/>
      </w:pPr>
      <w:r>
        <w:t xml:space="preserve">Table </w:t>
      </w:r>
      <w:hyperlink w:anchor="tab:paired-ari">
        <w:r>
          <w:rPr>
            <w:rStyle w:val="Hyperlink"/>
          </w:rPr>
          <w:t xml:space="preserve">1</w:t>
        </w:r>
      </w:hyperlink>
      <w:r>
        <w:t xml:space="preserve"> </w:t>
      </w:r>
      <w:r>
        <w:t xml:space="preserve">reports paired ARI per (scene, mask)</w:t>
      </w:r>
      <w:r>
        <w:t xml:space="preserve"> </w:t>
      </w:r>
      <w:r>
        <w:t xml:space="preserve">tuple. Figure </w:t>
      </w:r>
      <w:hyperlink w:anchor="fig:paired-ari-heatmap">
        <w:r>
          <w:rPr>
            <w:rStyle w:val="Hyperlink"/>
          </w:rPr>
          <w:t xml:space="preserve">1</w:t>
        </w:r>
      </w:hyperlink>
      <w:r>
        <w:t xml:space="preserve"> </w:t>
      </w:r>
      <w:r>
        <w:t xml:space="preserve">visualises the same</w:t>
      </w:r>
      <w:r>
        <w:t xml:space="preserve"> </w:t>
      </w:r>
      <w:r>
        <w:t xml:space="preserve">surface.</w:t>
      </w:r>
    </w:p>
    <w:bookmarkStart w:id="21" w:name="tab:paired-ari"/>
    <w:p>
      <w:pPr>
        <w:pStyle w:val="TableCaption"/>
      </w:pPr>
      <w:r>
        <w:t xml:space="preserve">Paired ARI (canonical vs masked dominant-topic maps) for</w:t>
      </w:r>
      <w:r>
        <w:t xml:space="preserve"> </w:t>
      </w:r>
      <w:r>
        <w:t xml:space="preserve">the 23 successful labelled-scene tuples. Pavia U</w:t>
      </w:r>
      <w:r>
        <w:t xml:space="preserve"> </w:t>
      </w:r>
      <m:oMath>
        <m:r>
          <m:rPr>
            <m:sty m:val="p"/>
          </m:rPr>
          <m:t>×</m:t>
        </m:r>
      </m:oMath>
      <w:r>
        <w:t xml:space="preserve"> </w:t>
      </w:r>
      <w:r>
        <w:t xml:space="preserve">SWIR is</w:t>
      </w:r>
      <w:r>
        <w:t xml:space="preserve"> </w:t>
      </w:r>
      <w:r>
        <w:t xml:space="preserve">auto-skipped (VNIR-only sensor).</w:t>
      </w:r>
    </w:p>
    <w:tbl>
      <w:tblPr>
        <w:tblStyle w:val="Table"/>
        <w:tblW w:type="auto" w:w="0"/>
        <w:tblLook w:firstRow="1" w:lastRow="0" w:firstColumn="0" w:lastColumn="0" w:noHBand="0" w:noVBand="0" w:val="0020"/>
        <w:tblCaption w:val="Paired ARI (canonical vs masked dominant-topic maps) for the 23 successful labelled-scene tuples. Pavia U \times SWIR is auto-skipped (VNIR-only sensor)."/>
      </w:tblPr>
      <w:tblGrid>
        <w:gridCol w:w="1584"/>
        <w:gridCol w:w="1584"/>
        <w:gridCol w:w="1584"/>
        <w:gridCol w:w="1584"/>
        <w:gridCol w:w="1584"/>
      </w:tblGrid>
      <w:tr>
        <w:trPr>
          <w:tblHeader w:val="on"/>
        </w:trPr>
        <w:tc>
          <w:tcPr/>
          <w:p>
            <w:pPr>
              <w:pStyle w:val="Compact"/>
              <w:jc w:val="left"/>
            </w:pPr>
            <w:r>
              <w:t xml:space="preserve">Scene</w:t>
            </w:r>
          </w:p>
        </w:tc>
        <w:tc>
          <w:tcPr/>
          <w:p>
            <w:pPr>
              <w:pStyle w:val="Compact"/>
              <w:jc w:val="center"/>
            </w:pPr>
            <w:r>
              <w:t xml:space="preserve">vnir</w:t>
            </w:r>
          </w:p>
        </w:tc>
        <w:tc>
          <w:tcPr/>
          <w:p>
            <w:pPr>
              <w:pStyle w:val="Compact"/>
              <w:jc w:val="center"/>
            </w:pPr>
            <w:r>
              <w:t xml:space="preserve">swir</w:t>
            </w:r>
          </w:p>
        </w:tc>
        <w:tc>
          <w:tcPr/>
          <w:p>
            <w:pPr>
              <w:pStyle w:val="Compact"/>
              <w:jc w:val="center"/>
            </w:pPr>
            <w:r>
              <w:t xml:space="preserve">no-water</w:t>
            </w:r>
          </w:p>
        </w:tc>
        <w:tc>
          <w:tcPr/>
          <w:p>
            <w:pPr>
              <w:pStyle w:val="Compact"/>
              <w:jc w:val="center"/>
            </w:pPr>
            <w:r>
              <w:t xml:space="preserve">top-50 Fisher</w:t>
            </w:r>
          </w:p>
        </w:tc>
      </w:tr>
      <w:tr>
        <w:tc>
          <w:tcPr/>
          <w:p>
            <w:pPr>
              <w:pStyle w:val="Compact"/>
              <w:jc w:val="left"/>
            </w:pPr>
            <w:r>
              <w:t xml:space="preserve">Indian Pines</w:t>
            </w:r>
          </w:p>
        </w:tc>
        <w:tc>
          <w:tcPr/>
          <w:p>
            <w:pPr>
              <w:pStyle w:val="Compact"/>
              <w:jc w:val="center"/>
            </w:pPr>
            <w:r>
              <w:t xml:space="preserve">0.427</w:t>
            </w:r>
          </w:p>
        </w:tc>
        <w:tc>
          <w:tcPr/>
          <w:p>
            <w:pPr>
              <w:pStyle w:val="Compact"/>
              <w:jc w:val="center"/>
            </w:pPr>
            <w:r>
              <w:t xml:space="preserve">0.527</w:t>
            </w:r>
          </w:p>
        </w:tc>
        <w:tc>
          <w:tcPr/>
          <w:p>
            <w:pPr>
              <w:pStyle w:val="Compact"/>
              <w:jc w:val="center"/>
            </w:pPr>
            <w:r>
              <w:t xml:space="preserve">0.499</w:t>
            </w:r>
          </w:p>
        </w:tc>
        <w:tc>
          <w:tcPr/>
          <w:p>
            <w:pPr>
              <w:pStyle w:val="Compact"/>
              <w:jc w:val="center"/>
            </w:pPr>
            <w:r>
              <w:t xml:space="preserve">0.398</w:t>
            </w:r>
          </w:p>
        </w:tc>
      </w:tr>
      <w:tr>
        <w:tc>
          <w:tcPr/>
          <w:p>
            <w:pPr>
              <w:pStyle w:val="Compact"/>
              <w:jc w:val="left"/>
            </w:pPr>
            <w:r>
              <w:t xml:space="preserve">Salinas</w:t>
            </w:r>
          </w:p>
        </w:tc>
        <w:tc>
          <w:tcPr/>
          <w:p>
            <w:pPr>
              <w:pStyle w:val="Compact"/>
              <w:jc w:val="center"/>
            </w:pPr>
            <w:r>
              <w:t xml:space="preserve">0.540</w:t>
            </w:r>
          </w:p>
        </w:tc>
        <w:tc>
          <w:tcPr/>
          <w:p>
            <w:pPr>
              <w:pStyle w:val="Compact"/>
              <w:jc w:val="center"/>
            </w:pPr>
            <w:r>
              <w:t xml:space="preserve">0.435</w:t>
            </w:r>
          </w:p>
        </w:tc>
        <w:tc>
          <w:tcPr/>
          <w:p>
            <w:pPr>
              <w:pStyle w:val="Compact"/>
              <w:jc w:val="center"/>
            </w:pPr>
            <w:r>
              <w:t xml:space="preserve">0.502</w:t>
            </w:r>
          </w:p>
        </w:tc>
        <w:tc>
          <w:tcPr/>
          <w:p>
            <w:pPr>
              <w:pStyle w:val="Compact"/>
              <w:jc w:val="center"/>
            </w:pPr>
            <w:r>
              <w:t xml:space="preserve">0.507</w:t>
            </w:r>
          </w:p>
        </w:tc>
      </w:tr>
      <w:tr>
        <w:tc>
          <w:tcPr/>
          <w:p>
            <w:pPr>
              <w:pStyle w:val="Compact"/>
              <w:jc w:val="left"/>
            </w:pPr>
            <w:r>
              <w:t xml:space="preserve">Salinas-A</w:t>
            </w:r>
          </w:p>
        </w:tc>
        <w:tc>
          <w:tcPr/>
          <w:p>
            <w:pPr>
              <w:pStyle w:val="Compact"/>
              <w:jc w:val="center"/>
            </w:pPr>
            <w:r>
              <w:t xml:space="preserve">0.521</w:t>
            </w:r>
          </w:p>
        </w:tc>
        <w:tc>
          <w:tcPr/>
          <w:p>
            <w:pPr>
              <w:pStyle w:val="Compact"/>
              <w:jc w:val="center"/>
            </w:pPr>
            <w:r>
              <w:rPr>
                <w:b/>
                <w:bCs/>
              </w:rPr>
              <w:t xml:space="preserve">0.766</w:t>
            </w:r>
          </w:p>
        </w:tc>
        <w:tc>
          <w:tcPr/>
          <w:p>
            <w:pPr>
              <w:pStyle w:val="Compact"/>
              <w:jc w:val="center"/>
            </w:pPr>
            <w:r>
              <w:t xml:space="preserve">0.533</w:t>
            </w:r>
          </w:p>
        </w:tc>
        <w:tc>
          <w:tcPr/>
          <w:p>
            <w:pPr>
              <w:pStyle w:val="Compact"/>
              <w:jc w:val="center"/>
            </w:pPr>
            <w:r>
              <w:t xml:space="preserve">0.352</w:t>
            </w:r>
          </w:p>
        </w:tc>
      </w:tr>
      <w:tr>
        <w:tc>
          <w:tcPr/>
          <w:p>
            <w:pPr>
              <w:pStyle w:val="Compact"/>
              <w:jc w:val="left"/>
            </w:pPr>
            <w:r>
              <w:t xml:space="preserve">Pavia University</w:t>
            </w:r>
          </w:p>
        </w:tc>
        <w:tc>
          <w:tcPr/>
          <w:p>
            <w:pPr>
              <w:pStyle w:val="Compact"/>
              <w:jc w:val="center"/>
            </w:pPr>
            <w:r>
              <w:t xml:space="preserve">0.415</w:t>
            </w:r>
          </w:p>
        </w:tc>
        <w:tc>
          <w:tcPr/>
          <w:p>
            <w:pPr>
              <w:pStyle w:val="Compact"/>
              <w:jc w:val="center"/>
            </w:pPr>
            <w:r>
              <w:t xml:space="preserve">–</w:t>
            </w:r>
          </w:p>
        </w:tc>
        <w:tc>
          <w:tcPr/>
          <w:p>
            <w:pPr>
              <w:pStyle w:val="Compact"/>
              <w:jc w:val="center"/>
            </w:pPr>
            <w:r>
              <w:t xml:space="preserve">0.415</w:t>
            </w:r>
          </w:p>
        </w:tc>
        <w:tc>
          <w:tcPr/>
          <w:p>
            <w:pPr>
              <w:pStyle w:val="Compact"/>
              <w:jc w:val="center"/>
            </w:pPr>
            <w:r>
              <w:t xml:space="preserve">0.387</w:t>
            </w:r>
          </w:p>
        </w:tc>
      </w:tr>
      <w:tr>
        <w:tc>
          <w:tcPr/>
          <w:p>
            <w:pPr>
              <w:pStyle w:val="Compact"/>
              <w:jc w:val="left"/>
            </w:pPr>
            <w:r>
              <w:t xml:space="preserve">Kennedy Space C.</w:t>
            </w:r>
          </w:p>
        </w:tc>
        <w:tc>
          <w:tcPr/>
          <w:p>
            <w:pPr>
              <w:pStyle w:val="Compact"/>
              <w:jc w:val="center"/>
            </w:pPr>
            <w:r>
              <w:t xml:space="preserve">0.009</w:t>
            </w:r>
          </w:p>
        </w:tc>
        <w:tc>
          <w:tcPr/>
          <w:p>
            <w:pPr>
              <w:pStyle w:val="Compact"/>
              <w:jc w:val="center"/>
            </w:pPr>
            <w:r>
              <w:t xml:space="preserve">0.011</w:t>
            </w:r>
          </w:p>
        </w:tc>
        <w:tc>
          <w:tcPr/>
          <w:p>
            <w:pPr>
              <w:pStyle w:val="Compact"/>
              <w:jc w:val="center"/>
            </w:pPr>
            <w:r>
              <w:t xml:space="preserve">0.007</w:t>
            </w:r>
          </w:p>
        </w:tc>
        <w:tc>
          <w:tcPr/>
          <w:p>
            <w:pPr>
              <w:pStyle w:val="Compact"/>
              <w:jc w:val="center"/>
            </w:pPr>
            <w:r>
              <w:t xml:space="preserve">0.013</w:t>
            </w:r>
          </w:p>
        </w:tc>
      </w:tr>
      <w:tr>
        <w:tc>
          <w:tcPr/>
          <w:p>
            <w:pPr>
              <w:pStyle w:val="Compact"/>
              <w:jc w:val="left"/>
            </w:pPr>
            <w:r>
              <w:t xml:space="preserve">Botswana</w:t>
            </w:r>
          </w:p>
        </w:tc>
        <w:tc>
          <w:tcPr/>
          <w:p>
            <w:pPr>
              <w:pStyle w:val="Compact"/>
              <w:jc w:val="center"/>
            </w:pPr>
            <w:r>
              <w:t xml:space="preserve">0.108</w:t>
            </w:r>
          </w:p>
        </w:tc>
        <w:tc>
          <w:tcPr/>
          <w:p>
            <w:pPr>
              <w:pStyle w:val="Compact"/>
              <w:jc w:val="center"/>
            </w:pPr>
            <w:r>
              <w:t xml:space="preserve">0.013</w:t>
            </w:r>
          </w:p>
        </w:tc>
        <w:tc>
          <w:tcPr/>
          <w:p>
            <w:pPr>
              <w:pStyle w:val="Compact"/>
              <w:jc w:val="center"/>
            </w:pPr>
            <w:r>
              <w:t xml:space="preserve">0.127</w:t>
            </w:r>
          </w:p>
        </w:tc>
        <w:tc>
          <w:tcPr/>
          <w:p>
            <w:pPr>
              <w:pStyle w:val="Compact"/>
              <w:jc w:val="center"/>
            </w:pPr>
            <w:r>
              <w:t xml:space="preserve">0.117</w:t>
            </w:r>
          </w:p>
        </w:tc>
      </w:tr>
    </w:tbl>
    <w:bookmarkEnd w:id="21"/>
    <w:p>
      <w:pPr>
        <w:pStyle w:val="BodyText"/>
      </w:pPr>
      <w:r>
        <w:t xml:space="preserve">The dominant observation is the sharp split between</w:t>
      </w:r>
      <w:r>
        <w:t xml:space="preserve"> </w:t>
      </w:r>
      <w:r>
        <w:rPr>
          <w:i/>
          <w:iCs/>
        </w:rPr>
        <w:t xml:space="preserve">band-fragile</w:t>
      </w:r>
      <w:r>
        <w:t xml:space="preserve"> </w:t>
      </w:r>
      <w:r>
        <w:t xml:space="preserve">and</w:t>
      </w:r>
      <w:r>
        <w:t xml:space="preserve"> </w:t>
      </w:r>
      <w:r>
        <w:rPr>
          <w:i/>
          <w:iCs/>
        </w:rPr>
        <w:t xml:space="preserve">band-robust</w:t>
      </w:r>
      <w:r>
        <w:t xml:space="preserve"> </w:t>
      </w:r>
      <w:r>
        <w:t xml:space="preserve">scenes:</w:t>
      </w:r>
    </w:p>
    <w:p>
      <w:pPr>
        <w:numPr>
          <w:ilvl w:val="0"/>
          <w:numId w:val="1005"/>
        </w:numPr>
      </w:pPr>
      <w:r>
        <w:rPr>
          <w:b/>
          <w:bCs/>
        </w:rPr>
        <w:t xml:space="preserve">Band-fragile</w:t>
      </w:r>
      <w:r>
        <w:t xml:space="preserve">: KSC paired ARI ranges from</w:t>
      </w:r>
      <w:r>
        <w:t xml:space="preserve"> </w:t>
      </w:r>
      <m:oMath>
        <m:r>
          <m:t>0.007</m:t>
        </m:r>
      </m:oMath>
      <w:r>
        <w:t xml:space="preserve"> </w:t>
      </w:r>
      <w:r>
        <w:t xml:space="preserve">to</w:t>
      </w:r>
      <w:r>
        <w:t xml:space="preserve"> </w:t>
      </w:r>
      <m:oMath>
        <m:r>
          <m:t>0.013</m:t>
        </m:r>
      </m:oMath>
      <w:r>
        <w:t xml:space="preserve"> </w:t>
      </w:r>
      <w:r>
        <w:t xml:space="preserve">across all four masks: the masked LDA assigns</w:t>
      </w:r>
      <w:r>
        <w:t xml:space="preserve"> </w:t>
      </w:r>
      <w:r>
        <w:t xml:space="preserve">pixels to topics with at most chance-level agreement with the</w:t>
      </w:r>
      <w:r>
        <w:t xml:space="preserve"> </w:t>
      </w:r>
      <w:r>
        <w:t xml:space="preserve">canonical fit. Botswana is at chance only under SWIR (</w:t>
      </w:r>
      <m:oMath>
        <m:r>
          <m:t>0.013</m:t>
        </m:r>
      </m:oMath>
      <w:r>
        <w:t xml:space="preserve">); under</w:t>
      </w:r>
      <w:r>
        <w:t xml:space="preserve"> </w:t>
      </w:r>
      <w:r>
        <w:t xml:space="preserve">VNIR (</w:t>
      </w:r>
      <m:oMath>
        <m:r>
          <m:t>0.108</m:t>
        </m:r>
      </m:oMath>
      <w:r>
        <w:t xml:space="preserve">), no-water (</w:t>
      </w:r>
      <m:oMath>
        <m:r>
          <m:t>0.127</m:t>
        </m:r>
      </m:oMath>
      <w:r>
        <w:t xml:space="preserve">) and top-50 Fisher (</w:t>
      </w:r>
      <m:oMath>
        <m:r>
          <m:t>0.117</m:t>
        </m:r>
      </m:oMath>
      <w:r>
        <w:t xml:space="preserve">) it sits</w:t>
      </w:r>
      <w:r>
        <w:t xml:space="preserve"> </w:t>
      </w:r>
      <w:r>
        <w:t xml:space="preserve">at</w:t>
      </w:r>
      <w:r>
        <w:t xml:space="preserve"> </w:t>
      </w:r>
      <m:oMath>
        <m:r>
          <m:t>0.11</m:t>
        </m:r>
      </m:oMath>
      <w:r>
        <w:t xml:space="preserve">–</w:t>
      </w:r>
      <m:oMath>
        <m:r>
          <m:t>0.13</m:t>
        </m:r>
      </m:oMath>
      <w:r>
        <w:t xml:space="preserve">, still below the band-robust scenes but not</w:t>
      </w:r>
      <w:r>
        <w:t xml:space="preserve"> </w:t>
      </w:r>
      <w:r>
        <w:t xml:space="preserve">chance-level. On KSC the canonical-fit topic identity is</w:t>
      </w:r>
      <w:r>
        <w:t xml:space="preserve"> </w:t>
      </w:r>
      <w:r>
        <w:rPr>
          <w:i/>
          <w:iCs/>
        </w:rPr>
        <w:t xml:space="preserve">not</w:t>
      </w:r>
      <w:r>
        <w:t xml:space="preserve"> </w:t>
      </w:r>
      <w:r>
        <w:t xml:space="preserve">recoverable from any reasonable band subset.</w:t>
      </w:r>
    </w:p>
    <w:p>
      <w:pPr>
        <w:numPr>
          <w:ilvl w:val="0"/>
          <w:numId w:val="1005"/>
        </w:numPr>
      </w:pPr>
      <w:r>
        <w:rPr>
          <w:b/>
          <w:bCs/>
        </w:rPr>
        <w:t xml:space="preserve">Band-robust</w:t>
      </w:r>
      <w:r>
        <w:t xml:space="preserve">: Salinas-A under SWIR-only reaches paired</w:t>
      </w:r>
      <w:r>
        <w:t xml:space="preserve"> </w:t>
      </w:r>
      <w:r>
        <w:t xml:space="preserve">ARI </w:t>
      </w:r>
      <m:oMath>
        <m:r>
          <m:rPr>
            <m:sty m:val="p"/>
          </m:rPr>
          <m:t>=</m:t>
        </m:r>
        <m:r>
          <m:t>0.77</m:t>
        </m:r>
      </m:oMath>
      <w:r>
        <w:t xml:space="preserve">: the masked fit recovers nearly the same partition</w:t>
      </w:r>
      <w:r>
        <w:t xml:space="preserve"> </w:t>
      </w:r>
      <w:r>
        <w:t xml:space="preserve">(Fig. </w:t>
      </w:r>
      <w:hyperlink w:anchor="fig:hungarian-example">
        <w:r>
          <w:rPr>
            <w:rStyle w:val="Hyperlink"/>
          </w:rPr>
          <w:t xml:space="preserve">2</w:t>
        </w:r>
      </w:hyperlink>
      <w:r>
        <w:t xml:space="preserve">).</w:t>
      </w:r>
      <w:r>
        <w:t xml:space="preserve"> </w:t>
      </w:r>
      <w:r>
        <w:t xml:space="preserve">The remaining tuples on Indian Pines, Salinas, Salinas-A, and</w:t>
      </w:r>
      <w:r>
        <w:t xml:space="preserve"> </w:t>
      </w:r>
      <w:r>
        <w:t xml:space="preserve">Pavia U cluster in the range</w:t>
      </w:r>
      <w:r>
        <w:t xml:space="preserve"> </w:t>
      </w:r>
      <m:oMath>
        <m:r>
          <m:t>0.35</m:t>
        </m:r>
      </m:oMath>
      <w:r>
        <w:t xml:space="preserve">–</w:t>
      </w:r>
      <m:oMath>
        <m:r>
          <m:t>0.54</m:t>
        </m:r>
      </m:oMath>
      <w:r>
        <w:t xml:space="preserve">, indicating partial</w:t>
      </w:r>
      <w:r>
        <w:t xml:space="preserve"> </w:t>
      </w:r>
      <w:r>
        <w:t xml:space="preserve">robustness: the topics deform but maintain a measurable correlation</w:t>
      </w:r>
      <w:r>
        <w:t xml:space="preserve"> </w:t>
      </w:r>
      <w:r>
        <w:t xml:space="preserve">with the canonical assignment.</w:t>
      </w:r>
    </w:p>
    <w:p>
      <w:pPr>
        <w:pStyle w:val="FirstParagraph"/>
      </w:pPr>
      <w:r>
        <w:t xml:space="preserve">Swap rates under Hungarian alignment confirm the same picture</w:t>
      </w:r>
      <w:r>
        <w:t xml:space="preserve"> </w:t>
      </w:r>
      <w:r>
        <w:t xml:space="preserve">(KSC swap rates 0.53–0.64; Salinas-A swir swap rate 0.18; the full</w:t>
      </w:r>
      <w:r>
        <w:t xml:space="preserve"> </w:t>
      </w:r>
      <w:r>
        <w:t xml:space="preserve">table is in the public artefact set described in</w:t>
      </w:r>
      <w:r>
        <w:t xml:space="preserve"> </w:t>
      </w:r>
      <w:r>
        <w:t xml:space="preserve">Section </w:t>
      </w:r>
      <w:hyperlink w:anchor="sec:repro">
        <w:r>
          <w:rPr>
            <w:rStyle w:val="Hyperlink"/>
          </w:rPr>
          <w:t xml:space="preserve">6</w:t>
        </w:r>
      </w:hyperlink>
      <w:r>
        <w:t xml:space="preserve">).</w:t>
      </w:r>
    </w:p>
    <w:bookmarkStart w:id="25" w:name="fig:hungarian-example"/>
    <w:p>
      <w:pPr>
        <w:pStyle w:val="CaptionedFigure"/>
      </w:pPr>
      <w:r>
        <w:drawing>
          <wp:inline>
            <wp:extent cx="4267200" cy="2070847"/>
            <wp:effectExtent b="0" l="0" r="0" t="0"/>
            <wp:docPr descr="" title="" id="23" name="Picture"/>
            <a:graphic>
              <a:graphicData uri="http://schemas.openxmlformats.org/drawingml/2006/picture">
                <pic:pic>
                  <pic:nvPicPr>
                    <pic:cNvPr descr="hungarian-alignment-example.pdf" id="24" name="Picture"/>
                    <pic:cNvPicPr>
                      <a:picLocks noChangeArrowheads="1" noChangeAspect="1"/>
                    </pic:cNvPicPr>
                  </pic:nvPicPr>
                  <pic:blipFill>
                    <a:blip r:embed="rId22"/>
                    <a:stretch>
                      <a:fillRect/>
                    </a:stretch>
                  </pic:blipFill>
                  <pic:spPr bwMode="auto">
                    <a:xfrm>
                      <a:off x="0" y="0"/>
                      <a:ext cx="4267200" cy="2070847"/>
                    </a:xfrm>
                    <a:prstGeom prst="rect">
                      <a:avLst/>
                    </a:prstGeom>
                    <a:noFill/>
                    <a:ln w="9525">
                      <a:noFill/>
                      <a:headEnd/>
                      <a:tailEnd/>
                    </a:ln>
                  </pic:spPr>
                </pic:pic>
              </a:graphicData>
            </a:graphic>
          </wp:inline>
        </w:drawing>
      </w:r>
    </w:p>
    <w:p>
      <w:pPr>
        <w:pStyle w:val="ImageCaption"/>
      </w:pPr>
      <w:r>
        <w:t xml:space="preserve">Hungarian topic-id alignment for Salinas-A under SWIR-only</w:t>
      </w:r>
      <w:r>
        <w:t xml:space="preserve"> </w:t>
      </w:r>
      <w:r>
        <w:t xml:space="preserve">(paired ARI</w:t>
      </w:r>
      <w:r>
        <w:t xml:space="preserve"> </w:t>
      </w:r>
      <m:oMath>
        <m:r>
          <m:rPr>
            <m:sty m:val="p"/>
          </m:rPr>
          <m:t>=</m:t>
        </m:r>
        <m:r>
          <m:t>0.77</m:t>
        </m:r>
      </m:oMath>
      <w:r>
        <w:t xml:space="preserve">). Five of six canonical topics have a dominant</w:t>
      </w:r>
      <w:r>
        <w:t xml:space="preserve"> </w:t>
      </w:r>
      <w:r>
        <w:t xml:space="preserve">masked topic with confusion-matrix share</w:t>
      </w:r>
      <w:r>
        <w:t xml:space="preserve"> </w:t>
      </w:r>
      <m:oMath>
        <m:r>
          <m:rPr>
            <m:sty m:val="p"/>
          </m:rPr>
          <m:t>&gt;</m:t>
        </m:r>
        <m:r>
          <m:t>0.65</m:t>
        </m:r>
      </m:oMath>
      <w:r>
        <w:t xml:space="preserve">; the sixth (</w:t>
      </w:r>
      <m:oMath>
        <m:sSub>
          <m:e>
            <m:r>
              <m:t>c</m:t>
            </m:r>
          </m:e>
          <m:sub>
            <m:r>
              <m:t>0</m:t>
            </m:r>
          </m:sub>
        </m:sSub>
      </m:oMath>
      <w:r>
        <w:t xml:space="preserve">)</w:t>
      </w:r>
      <w:r>
        <w:t xml:space="preserve"> </w:t>
      </w:r>
      <w:r>
        <w:t xml:space="preserve">splits across two masked topics (38 and 28 pixels). Most of the</w:t>
      </w:r>
      <w:r>
        <w:t xml:space="preserve"> </w:t>
      </w:r>
      <w:r>
        <w:t xml:space="preserve">residual swap rate comes from</w:t>
      </w:r>
      <w:r>
        <w:t xml:space="preserve"> </w:t>
      </w:r>
      <m:oMath>
        <m:sSub>
          <m:e>
            <m:r>
              <m:t>c</m:t>
            </m:r>
          </m:e>
          <m:sub>
            <m:r>
              <m:t>1</m:t>
            </m:r>
          </m:sub>
        </m:sSub>
      </m:oMath>
      <w:r>
        <w:t xml:space="preserve"> </w:t>
      </w:r>
      <w:r>
        <w:t xml:space="preserve">(120 of the 232 unmatched pixels):</w:t>
      </w:r>
      <w:r>
        <w:t xml:space="preserve"> </w:t>
      </w:r>
      <w:r>
        <w:t xml:space="preserve">its dominant masked topic is also the dominant topic of</w:t>
      </w:r>
      <w:r>
        <w:t xml:space="preserve"> </w:t>
      </w:r>
      <m:oMath>
        <m:sSub>
          <m:e>
            <m:r>
              <m:t>c</m:t>
            </m:r>
          </m:e>
          <m:sub>
            <m:r>
              <m:t>4</m:t>
            </m:r>
          </m:sub>
        </m:sSub>
      </m:oMath>
      <w:r>
        <w:t xml:space="preserve">, and the</w:t>
      </w:r>
      <w:r>
        <w:t xml:space="preserve"> </w:t>
      </w:r>
      <w:r>
        <w:t xml:space="preserve">one-to-one Hungarian assignment gives it to</w:t>
      </w:r>
      <w:r>
        <w:t xml:space="preserve"> </w:t>
      </w:r>
      <m:oMath>
        <m:sSub>
          <m:e>
            <m:r>
              <m:t>c</m:t>
            </m:r>
          </m:e>
          <m:sub>
            <m:r>
              <m:t>4</m:t>
            </m:r>
          </m:sub>
        </m:sSub>
      </m:oMath>
      <w:r>
        <w:t xml:space="preserve">.</w:t>
      </w:r>
    </w:p>
    <w:bookmarkEnd w:id="25"/>
    <w:bookmarkStart w:id="26" w:name="hidsag-mineral-subsets"/>
    <w:p>
      <w:pPr>
        <w:pStyle w:val="Heading2"/>
      </w:pPr>
      <w:r>
        <w:t xml:space="preserve">HIDSAG mineral subsets</w:t>
      </w:r>
    </w:p>
    <w:p>
      <w:pPr>
        <w:pStyle w:val="FirstParagraph"/>
      </w:pPr>
      <w:r>
        <w:t xml:space="preserve">On HIDSAG, the four masks produce 20 successful refits across five</w:t>
      </w:r>
      <w:r>
        <w:t xml:space="preserve"> </w:t>
      </w:r>
      <w:r>
        <w:t xml:space="preserve">subsets (no Pavia-style auto-skip occurs because the</w:t>
      </w:r>
      <w:r>
        <w:t xml:space="preserve"> </w:t>
      </w:r>
      <w:r>
        <w:rPr>
          <w:rStyle w:val="VerbatimChar"/>
        </w:rPr>
        <w:t xml:space="preserve">swir_low</w:t>
      </w:r>
      <w:r>
        <w:t xml:space="preserve"> </w:t>
      </w:r>
      <w:r>
        <w:t xml:space="preserve">modality intentionally spans both ends). The</w:t>
      </w:r>
      <w:r>
        <w:t xml:space="preserve"> </w:t>
      </w:r>
      <w:r>
        <w:t xml:space="preserve">between-covariate-variance variant of the Fisher mask retains 50</w:t>
      </w:r>
      <w:r>
        <w:t xml:space="preserve"> </w:t>
      </w:r>
      <w:r>
        <w:t xml:space="preserve">bands on MINERAL1, GEOCHEM, and PORPHYRY; GEOMET and MINERAL2 have a</w:t>
      </w:r>
      <w:r>
        <w:t xml:space="preserve"> </w:t>
      </w:r>
      <w:r>
        <w:t xml:space="preserve">single dominant covariate value, in which case the variance ranking</w:t>
      </w:r>
      <w:r>
        <w:t xml:space="preserve"> </w:t>
      </w:r>
      <w:r>
        <w:t xml:space="preserve">is degenerate and the mask falls back to keep-all-bands; the fallback</w:t>
      </w:r>
      <w:r>
        <w:t xml:space="preserve"> </w:t>
      </w:r>
      <w:r>
        <w:t xml:space="preserve">is recorded in the artefact metadata. Paired-ARI comparison</w:t>
      </w:r>
      <w:r>
        <w:t xml:space="preserve"> </w:t>
      </w:r>
      <w:r>
        <w:t xml:space="preserve">against the canonical HIDSAG fit follows the same Hungarian</w:t>
      </w:r>
      <w:r>
        <w:t xml:space="preserve"> </w:t>
      </w:r>
      <w:r>
        <w:t xml:space="preserve">procedure; full results are in the public artefact set.</w:t>
      </w:r>
    </w:p>
    <w:bookmarkEnd w:id="26"/>
    <w:bookmarkEnd w:id="27"/>
    <w:bookmarkStart w:id="28" w:name="sec:discuss"/>
    <w:p>
      <w:pPr>
        <w:pStyle w:val="Heading1"/>
      </w:pPr>
      <w:r>
        <w:t xml:space="preserve">Discussion</w:t>
      </w:r>
    </w:p>
    <w:p>
      <w:pPr>
        <w:pStyle w:val="FirstParagraph"/>
      </w:pPr>
      <w:r>
        <w:t xml:space="preserve">The band-mask diagnostic separates scenes on which any</w:t>
      </w:r>
      <w:r>
        <w:t xml:space="preserve"> </w:t>
      </w:r>
      <w:r>
        <w:t xml:space="preserve">“interpretable spectral basis”</w:t>
      </w:r>
      <w:r>
        <w:t xml:space="preserve"> </w:t>
      </w:r>
      <w:r>
        <w:t xml:space="preserve">claim is empirically tractable from</w:t>
      </w:r>
      <w:r>
        <w:t xml:space="preserve"> </w:t>
      </w:r>
      <w:r>
        <w:t xml:space="preserve">scenes on which it is not. On Salinas-A under SWIR-only restriction,</w:t>
      </w:r>
      <w:r>
        <w:t xml:space="preserve"> </w:t>
      </w:r>
      <w:r>
        <w:t xml:space="preserve">the LDA topics persist after one removes the entire VNIR half of</w:t>
      </w:r>
      <w:r>
        <w:t xml:space="preserve"> </w:t>
      </w:r>
      <w:r>
        <w:t xml:space="preserve">the spectrum: the spectral signature carried by the SWIR bands is</w:t>
      </w:r>
      <w:r>
        <w:t xml:space="preserve"> </w:t>
      </w:r>
      <w:r>
        <w:t xml:space="preserve">sufficient to recover the canonical structure. This is consistent</w:t>
      </w:r>
      <w:r>
        <w:t xml:space="preserve"> </w:t>
      </w:r>
      <w:r>
        <w:t xml:space="preserve">with the location of the cellulose and lignin absorption features in</w:t>
      </w:r>
      <w:r>
        <w:t xml:space="preserve"> </w:t>
      </w:r>
      <w:r>
        <w:t xml:space="preserve">the short-wave infrared </w:t>
      </w:r>
      <w:r>
        <w:t xml:space="preserve">(Curran 1989)</w:t>
      </w:r>
      <w:r>
        <w:t xml:space="preserve">.</w:t>
      </w:r>
    </w:p>
    <w:p>
      <w:pPr>
        <w:pStyle w:val="BodyText"/>
      </w:pPr>
      <w:r>
        <w:t xml:space="preserve">On KSC under every mask, and on Botswana under the SWIR mask, the</w:t>
      </w:r>
      <w:r>
        <w:t xml:space="preserve"> </w:t>
      </w:r>
      <w:r>
        <w:t xml:space="preserve">diagnostic returns a partial-negative result. Paired</w:t>
      </w:r>
      <w:r>
        <w:t xml:space="preserve"> </w:t>
      </w:r>
      <w:r>
        <w:t xml:space="preserve">ARI </w:t>
      </w:r>
      <m:oMath>
        <m:r>
          <m:rPr>
            <m:sty m:val="p"/>
          </m:rPr>
          <m:t>≈</m:t>
        </m:r>
        <m:r>
          <m:t>0.01</m:t>
        </m:r>
      </m:oMath>
      <w:r>
        <w:t xml:space="preserve"> </w:t>
      </w:r>
      <w:r>
        <w:t xml:space="preserve">means a masked-LDA observer would</w:t>
      </w:r>
      <w:r>
        <w:t xml:space="preserve"> </w:t>
      </w:r>
      <w:r>
        <w:t xml:space="preserve">arrive at fundamentally different topic identities than the</w:t>
      </w:r>
      <w:r>
        <w:t xml:space="preserve"> </w:t>
      </w:r>
      <w:r>
        <w:t xml:space="preserve">canonical-fit observer for the same scene. Two interpretations are</w:t>
      </w:r>
      <w:r>
        <w:t xml:space="preserve"> </w:t>
      </w:r>
      <w:r>
        <w:t xml:space="preserve">consistent with this finding: (i) the canonical fit is exploiting</w:t>
      </w:r>
      <w:r>
        <w:t xml:space="preserve"> </w:t>
      </w:r>
      <w:r>
        <w:t xml:space="preserve">band-level redundancy that does not survive restriction (an</w:t>
      </w:r>
      <w:r>
        <w:t xml:space="preserve"> </w:t>
      </w:r>
      <w:r>
        <w:t xml:space="preserve">ill-identified topic basis), or (ii) the topics are weakly</w:t>
      </w:r>
      <w:r>
        <w:t xml:space="preserve"> </w:t>
      </w:r>
      <w:r>
        <w:t xml:space="preserve">identified to begin with on those scenes (a small-sample-with-many-classes</w:t>
      </w:r>
      <w:r>
        <w:t xml:space="preserve"> </w:t>
      </w:r>
      <w:r>
        <w:t xml:space="preserve">issue: KSC has 13 classes sampled to 2,686 documents of 5,211 labelled</w:t>
      </w:r>
      <w:r>
        <w:t xml:space="preserve"> </w:t>
      </w:r>
      <w:r>
        <w:t xml:space="preserve">pixels; Botswana has 14 classes sampled to 2,775 of 3,248). The diagnostic does not</w:t>
      </w:r>
      <w:r>
        <w:t xml:space="preserve"> </w:t>
      </w:r>
      <w:r>
        <w:t xml:space="preserve">discriminate between these two causes; it does, however, flag the</w:t>
      </w:r>
      <w:r>
        <w:t xml:space="preserve"> </w:t>
      </w:r>
      <w:r>
        <w:t xml:space="preserve">scenes on which any interpretability claim leaning on the canonical</w:t>
      </w:r>
      <w:r>
        <w:t xml:space="preserve"> </w:t>
      </w:r>
      <w:r>
        <w:t xml:space="preserve">topic basis should be tempered.</w:t>
      </w:r>
    </w:p>
    <w:p>
      <w:pPr>
        <w:pStyle w:val="BodyText"/>
      </w:pPr>
      <w:r>
        <w:t xml:space="preserve">A practical consequence: when reporting per-scene supervised</w:t>
      </w:r>
      <w:r>
        <w:t xml:space="preserve"> </w:t>
      </w:r>
      <w:r>
        <w:t xml:space="preserve">metrics (linear-probe accuracy on</w:t>
      </w:r>
      <w:r>
        <w:t xml:space="preserve"> </w:t>
      </w:r>
      <m:oMath>
        <m:r>
          <m:t>θ</m:t>
        </m:r>
      </m:oMath>
      <w:r>
        <w:t xml:space="preserve">, topic-routed soft</w:t>
      </w:r>
      <w:r>
        <w:t xml:space="preserve"> </w:t>
      </w:r>
      <w:r>
        <w:t xml:space="preserve">classifier macro-F1) in a paper that interprets</w:t>
      </w:r>
      <w:r>
        <w:t xml:space="preserve"> </w:t>
      </w:r>
      <m:oMath>
        <m:r>
          <m:t>θ</m:t>
        </m:r>
      </m:oMath>
      <w:r>
        <w:t xml:space="preserve"> </w:t>
      </w:r>
      <w:r>
        <w:t xml:space="preserve">as a</w:t>
      </w:r>
      <w:r>
        <w:t xml:space="preserve"> </w:t>
      </w:r>
      <w:r>
        <w:t xml:space="preserve">spectral mixture, the band-mask robustness should be reported</w:t>
      </w:r>
      <w:r>
        <w:t xml:space="preserve"> </w:t>
      </w:r>
      <w:r>
        <w:t xml:space="preserve">alongside the seed stability. A high-accuracy classifier built on</w:t>
      </w:r>
      <w:r>
        <w:t xml:space="preserve"> </w:t>
      </w:r>
      <w:r>
        <w:t xml:space="preserve">top of a band-fragile basis is a different scientific object than</w:t>
      </w:r>
      <w:r>
        <w:t xml:space="preserve"> </w:t>
      </w:r>
      <w:r>
        <w:t xml:space="preserve">the same classifier built on a band-robust basis.</w:t>
      </w:r>
    </w:p>
    <w:bookmarkEnd w:id="28"/>
    <w:bookmarkStart w:id="31" w:name="sec:repro"/>
    <w:p>
      <w:pPr>
        <w:pStyle w:val="Heading1"/>
      </w:pPr>
      <w:r>
        <w:t xml:space="preserve">Reproducibility artefacts</w:t>
      </w:r>
    </w:p>
    <w:p>
      <w:pPr>
        <w:pStyle w:val="FirstParagraph"/>
      </w:pPr>
      <w:r>
        <w:t xml:space="preserve">The full sweep is released as 24 (labelled scene, mask) tuples plus 20</w:t>
      </w:r>
      <w:r>
        <w:t xml:space="preserve"> </w:t>
      </w:r>
      <w:r>
        <w:t xml:space="preserve">(HIDSAG subset, mask) tuples = 44 LDA refits with the per-tuple</w:t>
      </w:r>
      <w:r>
        <w:t xml:space="preserve"> </w:t>
      </w:r>
      <w:r>
        <w:t xml:space="preserve">JSON summary (top words at</w:t>
      </w:r>
      <w:r>
        <w:t xml:space="preserve"> </w:t>
      </w:r>
      <m:oMath>
        <m:r>
          <m:t>λ</m:t>
        </m:r>
        <m:r>
          <m:rPr>
            <m:sty m:val="p"/>
          </m:rPr>
          <m:t>=</m:t>
        </m:r>
        <m:r>
          <m:t>0.5</m:t>
        </m:r>
      </m:oMath>
      <w:r>
        <w:t xml:space="preserve">,</w:t>
      </w:r>
      <w:r>
        <w:t xml:space="preserve"> </w:t>
      </w:r>
      <m:oMath>
        <m:r>
          <m:t>K</m:t>
        </m:r>
        <m:r>
          <m:rPr>
            <m:sty m:val="p"/>
          </m:rPr>
          <m:t>×</m:t>
        </m:r>
        <m:r>
          <m:t>K</m:t>
        </m:r>
      </m:oMath>
      <w:r>
        <w:t xml:space="preserve"> </w:t>
      </w:r>
      <w:r>
        <w:t xml:space="preserve">cosine</w:t>
      </w:r>
      <w:r>
        <w:t xml:space="preserve"> </w:t>
      </w:r>
      <w:r>
        <w:t xml:space="preserve">distance matrix,</w:t>
      </w:r>
      <w:r>
        <w:t xml:space="preserve"> </w:t>
      </w:r>
      <m:oMath>
        <m:r>
          <m:t>P</m:t>
        </m:r>
        <m:r>
          <m:rPr>
            <m:sty m:val="p"/>
          </m:rPr>
          <m:t>(</m:t>
        </m:r>
        <m:r>
          <m:t>L</m:t>
        </m:r>
        <m:r>
          <m:rPr>
            <m:sty m:val="p"/>
          </m:rPr>
          <m:t>∣</m:t>
        </m:r>
        <m:r>
          <m:t>t</m:t>
        </m:r>
        <m:r>
          <m:rPr>
            <m:sty m:val="p"/>
          </m:rPr>
          <m:t>)</m:t>
        </m:r>
      </m:oMath>
      <w:r>
        <w:t xml:space="preserve">, perplexity, ARI vs label, full</w:t>
      </w:r>
      <w:r>
        <w:t xml:space="preserve"> </w:t>
      </w:r>
      <w:r>
        <w:t xml:space="preserve">Hungarian alignment), the per-pixel</w:t>
      </w:r>
      <w:r>
        <w:t xml:space="preserve"> </w:t>
      </w:r>
      <w:r>
        <w:t xml:space="preserve">(uint8</w:t>
      </w:r>
      <w:r>
        <w:t xml:space="preserve"> </w:t>
      </w:r>
      <m:oMath>
        <m:r>
          <m:t>H</m:t>
        </m:r>
        <m:r>
          <m:rPr>
            <m:sty m:val="p"/>
          </m:rPr>
          <m:t>×</m:t>
        </m:r>
        <m:r>
          <m:t>W</m:t>
        </m:r>
      </m:oMath>
      <w:r>
        <w:t xml:space="preserve"> </w:t>
      </w:r>
      <w:r>
        <w:t xml:space="preserve">with sentinel 255 for unlabelled), and the</w:t>
      </w:r>
      <w:r>
        <w:t xml:space="preserve"> </w:t>
      </w:r>
      <w:r>
        <w:t xml:space="preserve">per-pixel (float32</w:t>
      </w:r>
      <w:r>
        <w:t xml:space="preserve"> </w:t>
      </w:r>
      <m:oMath>
        <m:r>
          <m:t>H</m:t>
        </m:r>
        <m:r>
          <m:rPr>
            <m:sty m:val="p"/>
          </m:rPr>
          <m:t>×</m:t>
        </m:r>
        <m:r>
          <m:t>W</m:t>
        </m:r>
        <m:r>
          <m:rPr>
            <m:sty m:val="p"/>
          </m:rPr>
          <m:t>×</m:t>
        </m:r>
        <m:r>
          <m:t>K</m:t>
        </m:r>
      </m:oMath>
      <w:r>
        <w:t xml:space="preserve"> </w:t>
      </w:r>
      <w:r>
        <w:t xml:space="preserve">with sentinel all-zero) on the labelled-scene side. Total derived</w:t>
      </w:r>
      <w:r>
        <w:t xml:space="preserve"> </w:t>
      </w:r>
      <w:r>
        <w:t xml:space="preserve">footprint: 3895 deterministic artefacts, 449 MB.</w:t>
      </w:r>
    </w:p>
    <w:p>
      <w:pPr>
        <w:pStyle w:val="BodyText"/>
      </w:pPr>
      <w:r>
        <w:t xml:space="preserve">A FastAPI backend serves the artefacts at three endpoints:</w:t>
      </w:r>
      <w:r>
        <w:t xml:space="preserve"> </w:t>
      </w:r>
      <w:r>
        <w:t xml:space="preserve">, |/api/band-masks/</w:t>
      </w:r>
      <w:r>
        <w:t xml:space="preserve">scene</w:t>
      </w:r>
      <w:r>
        <w:t xml:space="preserve">/</w:t>
      </w:r>
      <w:r>
        <w:t xml:space="preserve">mask</w:t>
      </w:r>
      <w:r>
        <w:t xml:space="preserve">|,</w:t>
      </w:r>
      <w:r>
        <w:t xml:space="preserve"> </w:t>
      </w:r>
      <w:r>
        <w:t xml:space="preserve">, plus the HIDSAG</w:t>
      </w:r>
      <w:r>
        <w:t xml:space="preserve"> </w:t>
      </w:r>
      <w:r>
        <w:t xml:space="preserve">companions. A test harness covering 109 endpoints verifies endpoint</w:t>
      </w:r>
      <w:r>
        <w:t xml:space="preserve"> </w:t>
      </w:r>
      <w:r>
        <w:t xml:space="preserve">health and the content of the single-page-application shell at each</w:t>
      </w:r>
      <w:r>
        <w:t xml:space="preserve"> </w:t>
      </w:r>
      <w:r>
        <w:t xml:space="preserve">deployment.</w:t>
      </w:r>
    </w:p>
    <w:p>
      <w:pPr>
        <w:pStyle w:val="BodyText"/>
      </w:pPr>
      <w:r>
        <w:t xml:space="preserve">The full source (builders, FastAPI app, React frontend, and the</w:t>
      </w:r>
      <w:r>
        <w:t xml:space="preserve"> </w:t>
      </w:r>
      <w:r>
        <w:t xml:space="preserve">companion technical documentation wiki) is available at</w:t>
      </w:r>
      <w:r>
        <w:t xml:space="preserve"> </w:t>
      </w:r>
      <w:hyperlink r:id="rId29">
        <w:r>
          <w:rPr>
            <w:rStyle w:val="Hyperlink"/>
          </w:rPr>
          <w:t xml:space="preserve">https://github.com/fsantibanezleal/CAOS_LDA_HSI</w:t>
        </w:r>
      </w:hyperlink>
      <w:r>
        <w:t xml:space="preserve">. The live</w:t>
      </w:r>
      <w:r>
        <w:t xml:space="preserve"> </w:t>
      </w:r>
      <w:r>
        <w:t xml:space="preserve">interactive deployment is at</w:t>
      </w:r>
      <w:r>
        <w:t xml:space="preserve"> </w:t>
      </w:r>
      <w:hyperlink r:id="rId30">
        <w:r>
          <w:rPr>
            <w:rStyle w:val="Hyperlink"/>
          </w:rPr>
          <w:t xml:space="preserve">https://lda-hsi.fasl-work.com</w:t>
        </w:r>
      </w:hyperlink>
      <w:r>
        <w:t xml:space="preserve">.</w:t>
      </w:r>
    </w:p>
    <w:bookmarkEnd w:id="31"/>
    <w:bookmarkStart w:id="32" w:name="sec:conclusion"/>
    <w:p>
      <w:pPr>
        <w:pStyle w:val="Heading1"/>
      </w:pPr>
      <w:r>
        <w:t xml:space="preserve">Conclusion</w:t>
      </w:r>
    </w:p>
    <w:p>
      <w:pPr>
        <w:pStyle w:val="FirstParagraph"/>
      </w:pPr>
      <w:r>
        <w:t xml:space="preserve">We introduce a band-mask robustness diagnostic that complements the</w:t>
      </w:r>
      <w:r>
        <w:t xml:space="preserve"> </w:t>
      </w:r>
      <w:r>
        <w:t xml:space="preserve">established seed and capacity stability axes for LDA-based topic</w:t>
      </w:r>
      <w:r>
        <w:t xml:space="preserve"> </w:t>
      </w:r>
      <w:r>
        <w:t xml:space="preserve">models on hyperspectral imagery. The diagnostic refits canonical-</w:t>
      </w:r>
      <m:oMath>
        <m:r>
          <m:t>K</m:t>
        </m:r>
      </m:oMath>
      <w:r>
        <w:t xml:space="preserve"> </w:t>
      </w:r>
      <w:r>
        <w:t xml:space="preserve">LDA under four spectral-band restriction policies and compares the</w:t>
      </w:r>
      <w:r>
        <w:t xml:space="preserve"> </w:t>
      </w:r>
      <w:r>
        <w:t xml:space="preserve">masked dominant-topic maps against the canonical fit via paired ARI</w:t>
      </w:r>
      <w:r>
        <w:t xml:space="preserve"> </w:t>
      </w:r>
      <w:r>
        <w:t xml:space="preserve">plus a Hungarian topic-id alignment. Across six labelled benchmarks</w:t>
      </w:r>
      <w:r>
        <w:t xml:space="preserve"> </w:t>
      </w:r>
      <w:r>
        <w:t xml:space="preserve">and five HIDSAG mineral subsets, the diagnostic separates scenes</w:t>
      </w:r>
      <w:r>
        <w:t xml:space="preserve"> </w:t>
      </w:r>
      <w:r>
        <w:t xml:space="preserve">whose canonical topics are band-robust (Salinas-A under SWIR-only,</w:t>
      </w:r>
      <w:r>
        <w:t xml:space="preserve"> </w:t>
      </w:r>
      <w:r>
        <w:t xml:space="preserve">paired ARI</w:t>
      </w:r>
      <w:r>
        <w:t xml:space="preserve"> </w:t>
      </w:r>
      <m:oMath>
        <m:r>
          <m:rPr>
            <m:sty m:val="p"/>
          </m:rPr>
          <m:t>=</m:t>
        </m:r>
        <m:r>
          <m:t>0.77</m:t>
        </m:r>
      </m:oMath>
      <w:r>
        <w:t xml:space="preserve">) from scenes whose canonical topics are</w:t>
      </w:r>
      <w:r>
        <w:t xml:space="preserve"> </w:t>
      </w:r>
      <w:r>
        <w:t xml:space="preserve">band-fragile (KSC under every mask, Botswana under SWIR, paired ARI</w:t>
      </w:r>
      <w:r>
        <w:t xml:space="preserve"> </w:t>
      </w:r>
      <m:oMath>
        <m:r>
          <m:rPr>
            <m:sty m:val="p"/>
          </m:rPr>
          <m:t>≈</m:t>
        </m:r>
        <m:r>
          <m:t>0.01</m:t>
        </m:r>
      </m:oMath>
      <w:r>
        <w:t xml:space="preserve">). The full sweep, including 3895 deterministic JSON and binary artefacts,</w:t>
      </w:r>
      <w:r>
        <w:t xml:space="preserve"> </w:t>
      </w:r>
      <w:r>
        <w:t xml:space="preserve">is publicly released to support follow-on work.</w:t>
      </w:r>
    </w:p>
    <w:p>
      <w:pPr>
        <w:pStyle w:val="BodyText"/>
      </w:pPr>
      <w:r>
        <w:t xml:space="preserve">Future directions include extending the diagnostic to non-canonical</w:t>
      </w:r>
      <w:r>
        <w:t xml:space="preserve"> </w:t>
      </w:r>
      <w:r>
        <w:t xml:space="preserve">recipes (V2–V12 wordifications), evaluating its behaviour under</w:t>
      </w:r>
      <w:r>
        <w:t xml:space="preserve"> </w:t>
      </w:r>
      <w:r>
        <w:t xml:space="preserve">neural topic models (ProdLDA, ETM) which may handle band-restriction</w:t>
      </w:r>
      <w:r>
        <w:t xml:space="preserve"> </w:t>
      </w:r>
      <w:r>
        <w:t xml:space="preserve">differently due to their learned word embeddings, and developing a</w:t>
      </w:r>
      <w:r>
        <w:t xml:space="preserve"> </w:t>
      </w:r>
      <w:r>
        <w:t xml:space="preserve">calibrated information-theoretic complement (computing</w:t>
      </w:r>
      <w:r>
        <w:t xml:space="preserve"> </w:t>
      </w:r>
      <w:r>
        <w:t xml:space="preserve">between-covariate variance Fisher ranks</w:t>
      </w:r>
      <w:r>
        <w:t xml:space="preserve"> </w:t>
      </w:r>
      <w:r>
        <w:rPr>
          <w:i/>
          <w:iCs/>
        </w:rPr>
        <w:t xml:space="preserve">within</w:t>
      </w:r>
      <w:r>
        <w:t xml:space="preserve"> </w:t>
      </w:r>
      <w:r>
        <w:t xml:space="preserve">the masked</w:t>
      </w:r>
      <w:r>
        <w:t xml:space="preserve"> </w:t>
      </w:r>
      <w:r>
        <w:t xml:space="preserve">space rather than on the unmasked spectrum).</w:t>
      </w:r>
    </w:p>
    <w:bookmarkEnd w:id="32"/>
    <w:bookmarkStart w:id="33" w:name="acknowledgements"/>
    <w:p>
      <w:pPr>
        <w:pStyle w:val="Heading1"/>
      </w:pPr>
      <w:r>
        <w:t xml:space="preserve">Acknowledgements</w:t>
      </w:r>
    </w:p>
    <w:p>
      <w:pPr>
        <w:pStyle w:val="FirstParagraph"/>
      </w:pPr>
      <w:r>
        <w:t xml:space="preserve">This work has been partially funded by The Advanced Mining Technology</w:t>
      </w:r>
      <w:r>
        <w:t xml:space="preserve"> </w:t>
      </w:r>
      <w:r>
        <w:t xml:space="preserve">Center (AMTC) Basal project (ANID/PIA Project AFB220002) and ANID</w:t>
      </w:r>
      <w:r>
        <w:t xml:space="preserve"> </w:t>
      </w:r>
      <w:r>
        <w:t xml:space="preserve">FONDECYT Postdoctorado 3220094.</w:t>
      </w:r>
    </w:p>
    <w:p>
      <w:pPr>
        <w:pStyle w:val="BodyText"/>
      </w:pPr>
      <w:r>
        <w:t xml:space="preserve">The Hyperspectral Remote Sensing Scenes collection is maintained by</w:t>
      </w:r>
      <w:r>
        <w:t xml:space="preserve"> </w:t>
      </w:r>
      <w:r>
        <w:t xml:space="preserve">the Computational Intelligence Group at UPV/EHU. The HIDSAG</w:t>
      </w:r>
      <w:r>
        <w:t xml:space="preserve"> </w:t>
      </w:r>
      <w:r>
        <w:t xml:space="preserve">database is the result of a collaboration on hyperspectral</w:t>
      </w:r>
      <w:r>
        <w:t xml:space="preserve"> </w:t>
      </w:r>
      <w:r>
        <w:t xml:space="preserve">mineralogy with industrial partners in Chilean mining geosciences.</w:t>
      </w:r>
    </w:p>
    <w:bookmarkEnd w:id="33"/>
    <w:bookmarkStart w:id="73" w:name="conflict-of-interest"/>
    <w:p>
      <w:pPr>
        <w:pStyle w:val="Heading1"/>
      </w:pPr>
      <w:r>
        <w:t xml:space="preserve">Conflict of Interest</w:t>
      </w:r>
    </w:p>
    <w:p>
      <w:pPr>
        <w:pStyle w:val="FirstParagraph"/>
      </w:pPr>
      <w:r>
        <w:t xml:space="preserve">The author is a co-author of the HIDSAG dataset descriptor</w:t>
      </w:r>
      <w:r>
        <w:t xml:space="preserve"> </w:t>
      </w:r>
      <w:r>
        <w:t xml:space="preserve">publication </w:t>
      </w:r>
      <w:r>
        <w:t xml:space="preserve">(Ehrenfeld et al. 2023)</w:t>
      </w:r>
      <w:r>
        <w:t xml:space="preserve"> </w:t>
      </w:r>
      <w:r>
        <w:t xml:space="preserve">and the accompanying data</w:t>
      </w:r>
      <w:r>
        <w:t xml:space="preserve"> </w:t>
      </w:r>
      <w:r>
        <w:t xml:space="preserve">release </w:t>
      </w:r>
      <w:r>
        <w:t xml:space="preserve">(Ehrenfeld 2023)</w:t>
      </w:r>
      <w:r>
        <w:t xml:space="preserve">. The present paper is</w:t>
      </w:r>
      <w:r>
        <w:t xml:space="preserve"> </w:t>
      </w:r>
      <w:r>
        <w:t xml:space="preserve">methodologically distinct: it proposes a band-mask robustness</w:t>
      </w:r>
      <w:r>
        <w:t xml:space="preserve"> </w:t>
      </w:r>
      <w:r>
        <w:t xml:space="preserve">diagnostic for LDA on HSI and applies it, among other benchmarks,</w:t>
      </w:r>
      <w:r>
        <w:t xml:space="preserve"> </w:t>
      </w:r>
      <w:r>
        <w:t xml:space="preserve">to the HIDSAG mineralogical subsets. HIDSAG is cited as a data</w:t>
      </w:r>
      <w:r>
        <w:t xml:space="preserve"> </w:t>
      </w:r>
      <w:r>
        <w:t xml:space="preserve">source, not as a methodological contribution of this work. The</w:t>
      </w:r>
      <w:r>
        <w:t xml:space="preserve"> </w:t>
      </w:r>
      <w:r>
        <w:t xml:space="preserve">author declares no other conflict of interest.</w:t>
      </w:r>
    </w:p>
    <w:bookmarkStart w:id="72" w:name="refs"/>
    <w:bookmarkStart w:id="35" w:name="ref-baumgardner1992indianpines"/>
    <w:p>
      <w:pPr>
        <w:pStyle w:val="Bibliography"/>
      </w:pPr>
      <w:r>
        <w:t xml:space="preserve">Baumgardner, Marion F., Larry L. Biehl, and David A. Landgrebe. 2015.</w:t>
      </w:r>
      <w:r>
        <w:t xml:space="preserve"> </w:t>
      </w:r>
      <w:r>
        <w:rPr>
          <w:i/>
          <w:iCs/>
        </w:rPr>
        <w:t xml:space="preserve">220 Band</w:t>
      </w:r>
      <w:r>
        <w:rPr>
          <w:i/>
          <w:iCs/>
        </w:rPr>
        <w:t xml:space="preserve"> </w:t>
      </w:r>
      <w:r>
        <w:rPr>
          <w:i/>
          <w:iCs/>
        </w:rPr>
        <w:t xml:space="preserve">AVIRIS</w:t>
      </w:r>
      <w:r>
        <w:rPr>
          <w:i/>
          <w:iCs/>
        </w:rPr>
        <w:t xml:space="preserve"> </w:t>
      </w:r>
      <w:r>
        <w:rPr>
          <w:i/>
          <w:iCs/>
        </w:rPr>
        <w:t xml:space="preserve">Hyperspectral Image Data Set:</w:t>
      </w:r>
      <w:r>
        <w:rPr>
          <w:i/>
          <w:iCs/>
        </w:rPr>
        <w:t xml:space="preserve"> </w:t>
      </w:r>
      <w:r>
        <w:rPr>
          <w:i/>
          <w:iCs/>
        </w:rPr>
        <w:t xml:space="preserve">June</w:t>
      </w:r>
      <w:r>
        <w:rPr>
          <w:i/>
          <w:iCs/>
        </w:rPr>
        <w:t xml:space="preserve"> </w:t>
      </w:r>
      <w:r>
        <w:rPr>
          <w:i/>
          <w:iCs/>
        </w:rPr>
        <w:t xml:space="preserve">12, 1992</w:t>
      </w:r>
      <w:r>
        <w:rPr>
          <w:i/>
          <w:iCs/>
        </w:rPr>
        <w:t xml:space="preserve"> </w:t>
      </w:r>
      <w:r>
        <w:rPr>
          <w:i/>
          <w:iCs/>
        </w:rPr>
        <w:t xml:space="preserve">Indian</w:t>
      </w:r>
      <w:r>
        <w:rPr>
          <w:i/>
          <w:iCs/>
        </w:rPr>
        <w:t xml:space="preserve"> </w:t>
      </w:r>
      <w:r>
        <w:rPr>
          <w:i/>
          <w:iCs/>
        </w:rPr>
        <w:t xml:space="preserve">Pine</w:t>
      </w:r>
      <w:r>
        <w:rPr>
          <w:i/>
          <w:iCs/>
        </w:rPr>
        <w:t xml:space="preserve"> </w:t>
      </w:r>
      <w:r>
        <w:rPr>
          <w:i/>
          <w:iCs/>
        </w:rPr>
        <w:t xml:space="preserve">Test Site 3</w:t>
      </w:r>
      <w:r>
        <w:t xml:space="preserve">. Purdue University Research Repository.</w:t>
      </w:r>
      <w:r>
        <w:t xml:space="preserve"> </w:t>
      </w:r>
      <w:hyperlink r:id="rId34">
        <w:r>
          <w:rPr>
            <w:rStyle w:val="Hyperlink"/>
          </w:rPr>
          <w:t xml:space="preserve">https://doi.org/10.4231/R7RX991C</w:t>
        </w:r>
      </w:hyperlink>
      <w:r>
        <w:t xml:space="preserve">.</w:t>
      </w:r>
    </w:p>
    <w:bookmarkEnd w:id="35"/>
    <w:bookmarkStart w:id="37" w:name="ref-bioucasdias2012unmixing"/>
    <w:p>
      <w:pPr>
        <w:pStyle w:val="Bibliography"/>
      </w:pPr>
      <w:r>
        <w:t xml:space="preserve">Bioucas-Dias, José M., Antonio Plaza, Nicolas Dobigeon, et al. 2012.</w:t>
      </w:r>
      <w:r>
        <w:t xml:space="preserve"> </w:t>
      </w:r>
      <w:r>
        <w:t xml:space="preserve">“Hyperspectral Unmixing Overview: Geometrical, Statistical, and Sparse Regression-Based Approaches.”</w:t>
      </w:r>
      <w:r>
        <w:t xml:space="preserve"> </w:t>
      </w:r>
      <w:r>
        <w:rPr>
          <w:i/>
          <w:iCs/>
        </w:rPr>
        <w:t xml:space="preserve">IEEE Journal of Selected Topics in Applied Earth Observations and Remote Sensing</w:t>
      </w:r>
      <w:r>
        <w:t xml:space="preserve"> </w:t>
      </w:r>
      <w:r>
        <w:t xml:space="preserve">5 (2): 354–79.</w:t>
      </w:r>
      <w:r>
        <w:t xml:space="preserve"> </w:t>
      </w:r>
      <w:hyperlink r:id="rId36">
        <w:r>
          <w:rPr>
            <w:rStyle w:val="Hyperlink"/>
          </w:rPr>
          <w:t xml:space="preserve">https://doi.org/10.1109/JSTARS.2012.2194696</w:t>
        </w:r>
      </w:hyperlink>
      <w:r>
        <w:t xml:space="preserve">.</w:t>
      </w:r>
    </w:p>
    <w:bookmarkEnd w:id="37"/>
    <w:bookmarkStart w:id="39" w:name="ref-blei2003lda"/>
    <w:p>
      <w:pPr>
        <w:pStyle w:val="Bibliography"/>
      </w:pPr>
      <w:r>
        <w:t xml:space="preserve">Blei, David M., Andrew Y. Ng, and Michael I. Jordan. 2003.</w:t>
      </w:r>
      <w:r>
        <w:t xml:space="preserve"> </w:t>
      </w:r>
      <w:r>
        <w:t xml:space="preserve">“Latent</w:t>
      </w:r>
      <w:r>
        <w:t xml:space="preserve"> </w:t>
      </w:r>
      <w:r>
        <w:t xml:space="preserve">Dirichlet</w:t>
      </w:r>
      <w:r>
        <w:t xml:space="preserve"> </w:t>
      </w:r>
      <w:r>
        <w:t xml:space="preserve">Allocation.”</w:t>
      </w:r>
      <w:r>
        <w:t xml:space="preserve"> </w:t>
      </w:r>
      <w:r>
        <w:rPr>
          <w:i/>
          <w:iCs/>
        </w:rPr>
        <w:t xml:space="preserve">Journal of Machine Learning Research</w:t>
      </w:r>
      <w:r>
        <w:t xml:space="preserve"> </w:t>
      </w:r>
      <w:r>
        <w:t xml:space="preserve">3: 993–1022.</w:t>
      </w:r>
      <w:r>
        <w:t xml:space="preserve"> </w:t>
      </w:r>
      <w:hyperlink r:id="rId38">
        <w:r>
          <w:rPr>
            <w:rStyle w:val="Hyperlink"/>
          </w:rPr>
          <w:t xml:space="preserve">https://jmlr.org/papers/v3/blei03a.html</w:t>
        </w:r>
      </w:hyperlink>
      <w:r>
        <w:t xml:space="preserve">.</w:t>
      </w:r>
    </w:p>
    <w:bookmarkEnd w:id="39"/>
    <w:bookmarkStart w:id="41" w:name="ref-curran1989foliar"/>
    <w:p>
      <w:pPr>
        <w:pStyle w:val="Bibliography"/>
      </w:pPr>
      <w:r>
        <w:t xml:space="preserve">Curran, Paul J. 1989.</w:t>
      </w:r>
      <w:r>
        <w:t xml:space="preserve"> </w:t>
      </w:r>
      <w:r>
        <w:t xml:space="preserve">“Remote Sensing of Foliar Chemistry.”</w:t>
      </w:r>
      <w:r>
        <w:t xml:space="preserve"> </w:t>
      </w:r>
      <w:r>
        <w:rPr>
          <w:i/>
          <w:iCs/>
        </w:rPr>
        <w:t xml:space="preserve">Remote Sensing of Environment</w:t>
      </w:r>
      <w:r>
        <w:t xml:space="preserve"> </w:t>
      </w:r>
      <w:r>
        <w:t xml:space="preserve">30 (3): 271–78.</w:t>
      </w:r>
      <w:r>
        <w:t xml:space="preserve"> </w:t>
      </w:r>
      <w:hyperlink r:id="rId40">
        <w:r>
          <w:rPr>
            <w:rStyle w:val="Hyperlink"/>
          </w:rPr>
          <w:t xml:space="preserve">https://doi.org/10.1016/0034-4257(89)90069-2</w:t>
        </w:r>
      </w:hyperlink>
      <w:r>
        <w:t xml:space="preserve">.</w:t>
      </w:r>
    </w:p>
    <w:bookmarkEnd w:id="41"/>
    <w:bookmarkStart w:id="43" w:name="ref-hidsag2023figshare"/>
    <w:p>
      <w:pPr>
        <w:pStyle w:val="Bibliography"/>
      </w:pPr>
      <w:r>
        <w:t xml:space="preserve">Ehrenfeld, Alejandro. 2023.</w:t>
      </w:r>
      <w:r>
        <w:t xml:space="preserve"> </w:t>
      </w:r>
      <w:r>
        <w:rPr>
          <w:i/>
          <w:iCs/>
        </w:rPr>
        <w:t xml:space="preserve">HIDSAG</w:t>
      </w:r>
      <w:r>
        <w:rPr>
          <w:i/>
          <w:iCs/>
        </w:rPr>
        <w:t xml:space="preserve">: Hyperspectral Image Database for Supervised Analysis in Geometallurgy</w:t>
      </w:r>
      <w:r>
        <w:t xml:space="preserve">. Figshare Collection,</w:t>
      </w:r>
      <w:r>
        <w:t xml:space="preserve"> </w:t>
      </w:r>
      <w:hyperlink r:id="rId42">
        <w:r>
          <w:rPr>
            <w:rStyle w:val="Hyperlink"/>
          </w:rPr>
          <w:t xml:space="preserve">https://doi.org/10.6084/m9.figshare.c.5983921.v1</w:t>
        </w:r>
      </w:hyperlink>
      <w:r>
        <w:t xml:space="preserve">; figshare.</w:t>
      </w:r>
      <w:r>
        <w:t xml:space="preserve"> </w:t>
      </w:r>
      <w:hyperlink r:id="rId42">
        <w:r>
          <w:rPr>
            <w:rStyle w:val="Hyperlink"/>
          </w:rPr>
          <w:t xml:space="preserve">https://doi.org/10.6084/m9.figshare.c.5983921.v1</w:t>
        </w:r>
      </w:hyperlink>
      <w:r>
        <w:t xml:space="preserve">.</w:t>
      </w:r>
    </w:p>
    <w:bookmarkEnd w:id="43"/>
    <w:bookmarkStart w:id="45" w:name="ref-hidsag2023"/>
    <w:p>
      <w:pPr>
        <w:pStyle w:val="Bibliography"/>
      </w:pPr>
      <w:r>
        <w:t xml:space="preserve">Ehrenfeld, Alejandro, Álvaro F. Egaña, Felipe Santibañez-Leal, et al. 2023.</w:t>
      </w:r>
      <w:r>
        <w:t xml:space="preserve"> </w:t>
      </w:r>
      <w:r>
        <w:t xml:space="preserve">“</w:t>
      </w:r>
      <w:r>
        <w:t xml:space="preserve">HIDSAG</w:t>
      </w:r>
      <w:r>
        <w:t xml:space="preserve">: Hyperspectral Image Database for Supervised Analysis in Geometallurgy.”</w:t>
      </w:r>
      <w:r>
        <w:t xml:space="preserve"> </w:t>
      </w:r>
      <w:r>
        <w:rPr>
          <w:i/>
          <w:iCs/>
        </w:rPr>
        <w:t xml:space="preserve">Scientific Data</w:t>
      </w:r>
      <w:r>
        <w:t xml:space="preserve"> </w:t>
      </w:r>
      <w:r>
        <w:t xml:space="preserve">10 (1): 164.</w:t>
      </w:r>
      <w:r>
        <w:t xml:space="preserve"> </w:t>
      </w:r>
      <w:hyperlink r:id="rId44">
        <w:r>
          <w:rPr>
            <w:rStyle w:val="Hyperlink"/>
          </w:rPr>
          <w:t xml:space="preserve">https://doi.org/10.1038/s41597-023-02061-x</w:t>
        </w:r>
      </w:hyperlink>
      <w:r>
        <w:t xml:space="preserve">.</w:t>
      </w:r>
    </w:p>
    <w:bookmarkEnd w:id="45"/>
    <w:bookmarkStart w:id="47" w:name="ref-rosis_pavia"/>
    <w:p>
      <w:pPr>
        <w:pStyle w:val="Bibliography"/>
      </w:pPr>
      <w:r>
        <w:t xml:space="preserve">German Aerospace Center (DLR) ROSIS sensor. 2003.</w:t>
      </w:r>
      <w:r>
        <w:t xml:space="preserve"> </w:t>
      </w:r>
      <w:r>
        <w:rPr>
          <w:i/>
          <w:iCs/>
        </w:rPr>
        <w:t xml:space="preserve">ROSIS</w:t>
      </w:r>
      <w:r>
        <w:rPr>
          <w:i/>
          <w:iCs/>
        </w:rPr>
        <w:t xml:space="preserve"> </w:t>
      </w:r>
      <w:r>
        <w:rPr>
          <w:i/>
          <w:iCs/>
        </w:rPr>
        <w:t xml:space="preserve">Pavia</w:t>
      </w:r>
      <w:r>
        <w:rPr>
          <w:i/>
          <w:iCs/>
        </w:rPr>
        <w:t xml:space="preserve"> </w:t>
      </w:r>
      <w:r>
        <w:rPr>
          <w:i/>
          <w:iCs/>
        </w:rPr>
        <w:t xml:space="preserve">University</w:t>
      </w:r>
      <w:r>
        <w:rPr>
          <w:i/>
          <w:iCs/>
        </w:rPr>
        <w:t xml:space="preserve"> </w:t>
      </w:r>
      <w:r>
        <w:rPr>
          <w:i/>
          <w:iCs/>
        </w:rPr>
        <w:t xml:space="preserve">Hyperspectral Dataset</w:t>
      </w:r>
      <w:r>
        <w:t xml:space="preserve">.</w:t>
      </w:r>
      <w:r>
        <w:t xml:space="preserve"> </w:t>
      </w:r>
      <w:hyperlink r:id="rId46">
        <w:r>
          <w:rPr>
            <w:rStyle w:val="Hyperlink"/>
          </w:rPr>
          <w:t xml:space="preserve">https://www.ehu.eus/ccwintco/index.php/Hyperspectral_Remote_Sensing_Scenes#Pavia_University_scene</w:t>
        </w:r>
      </w:hyperlink>
      <w:r>
        <w:t xml:space="preserve">.</w:t>
      </w:r>
    </w:p>
    <w:bookmarkEnd w:id="47"/>
    <w:bookmarkStart w:id="49" w:name="ref-griffiths2004finding"/>
    <w:p>
      <w:pPr>
        <w:pStyle w:val="Bibliography"/>
      </w:pPr>
      <w:r>
        <w:t xml:space="preserve">Griffiths, Thomas L., and Mark Steyvers. 2004.</w:t>
      </w:r>
      <w:r>
        <w:t xml:space="preserve"> </w:t>
      </w:r>
      <w:r>
        <w:t xml:space="preserve">“Finding Scientific Topics.”</w:t>
      </w:r>
      <w:r>
        <w:t xml:space="preserve"> </w:t>
      </w:r>
      <w:r>
        <w:rPr>
          <w:i/>
          <w:iCs/>
        </w:rPr>
        <w:t xml:space="preserve">Proceedings of the National Academy of Sciences</w:t>
      </w:r>
      <w:r>
        <w:t xml:space="preserve"> </w:t>
      </w:r>
      <w:r>
        <w:t xml:space="preserve">101 (Suppl. 1): 5228–35.</w:t>
      </w:r>
      <w:r>
        <w:t xml:space="preserve"> </w:t>
      </w:r>
      <w:hyperlink r:id="rId48">
        <w:r>
          <w:rPr>
            <w:rStyle w:val="Hyperlink"/>
          </w:rPr>
          <w:t xml:space="preserve">https://doi.org/10.1073/pnas.0307752101</w:t>
        </w:r>
      </w:hyperlink>
      <w:r>
        <w:t xml:space="preserve">.</w:t>
      </w:r>
    </w:p>
    <w:bookmarkEnd w:id="49"/>
    <w:bookmarkStart w:id="51" w:name="ref-hoffman2010online"/>
    <w:p>
      <w:pPr>
        <w:pStyle w:val="Bibliography"/>
      </w:pPr>
      <w:r>
        <w:t xml:space="preserve">Hoffman, Matthew D., David M. Blei, and Francis R. Bach. 2010.</w:t>
      </w:r>
      <w:r>
        <w:t xml:space="preserve"> </w:t>
      </w:r>
      <w:r>
        <w:t xml:space="preserve">“Online Learning for Latent</w:t>
      </w:r>
      <w:r>
        <w:t xml:space="preserve"> </w:t>
      </w:r>
      <w:r>
        <w:t xml:space="preserve">Dirichlet</w:t>
      </w:r>
      <w:r>
        <w:t xml:space="preserve"> </w:t>
      </w:r>
      <w:r>
        <w:t xml:space="preserve">Allocation.”</w:t>
      </w:r>
      <w:r>
        <w:t xml:space="preserve"> </w:t>
      </w:r>
      <w:r>
        <w:rPr>
          <w:i/>
          <w:iCs/>
        </w:rPr>
        <w:t xml:space="preserve">Advances in Neural Information Processing Systems 23 (NIPS 2010)</w:t>
      </w:r>
      <w:r>
        <w:t xml:space="preserve">, 856–64.</w:t>
      </w:r>
      <w:r>
        <w:t xml:space="preserve"> </w:t>
      </w:r>
      <w:hyperlink r:id="rId50">
        <w:r>
          <w:rPr>
            <w:rStyle w:val="Hyperlink"/>
          </w:rPr>
          <w:t xml:space="preserve">https://papers.nips.cc/paper/3902-online-learning-for-latent-dirichlet-allocation</w:t>
        </w:r>
      </w:hyperlink>
      <w:r>
        <w:t xml:space="preserve">.</w:t>
      </w:r>
    </w:p>
    <w:bookmarkEnd w:id="51"/>
    <w:bookmarkStart w:id="53" w:name="ref-hubert1985ari"/>
    <w:p>
      <w:pPr>
        <w:pStyle w:val="Bibliography"/>
      </w:pPr>
      <w:r>
        <w:t xml:space="preserve">Hubert, Lawrence, and Phipps Arabie. 1985.</w:t>
      </w:r>
      <w:r>
        <w:t xml:space="preserve"> </w:t>
      </w:r>
      <w:r>
        <w:t xml:space="preserve">“Comparing Partitions.”</w:t>
      </w:r>
      <w:r>
        <w:t xml:space="preserve"> </w:t>
      </w:r>
      <w:r>
        <w:rPr>
          <w:i/>
          <w:iCs/>
        </w:rPr>
        <w:t xml:space="preserve">Journal of Classification</w:t>
      </w:r>
      <w:r>
        <w:t xml:space="preserve"> </w:t>
      </w:r>
      <w:r>
        <w:t xml:space="preserve">2 (1): 193–218.</w:t>
      </w:r>
      <w:r>
        <w:t xml:space="preserve"> </w:t>
      </w:r>
      <w:hyperlink r:id="rId52">
        <w:r>
          <w:rPr>
            <w:rStyle w:val="Hyperlink"/>
          </w:rPr>
          <w:t xml:space="preserve">https://doi.org/10.1007/BF01908075</w:t>
        </w:r>
      </w:hyperlink>
      <w:r>
        <w:t xml:space="preserve">.</w:t>
      </w:r>
    </w:p>
    <w:bookmarkEnd w:id="53"/>
    <w:bookmarkStart w:id="55" w:name="ref-kuhn1955hungarian"/>
    <w:p>
      <w:pPr>
        <w:pStyle w:val="Bibliography"/>
      </w:pPr>
      <w:r>
        <w:t xml:space="preserve">Kuhn, H. W. 1955.</w:t>
      </w:r>
      <w:r>
        <w:t xml:space="preserve"> </w:t>
      </w:r>
      <w:r>
        <w:t xml:space="preserve">“The</w:t>
      </w:r>
      <w:r>
        <w:t xml:space="preserve"> </w:t>
      </w:r>
      <w:r>
        <w:t xml:space="preserve">Hungarian</w:t>
      </w:r>
      <w:r>
        <w:t xml:space="preserve"> </w:t>
      </w:r>
      <w:r>
        <w:t xml:space="preserve">Method for the Assignment Problem.”</w:t>
      </w:r>
      <w:r>
        <w:t xml:space="preserve"> </w:t>
      </w:r>
      <w:r>
        <w:rPr>
          <w:i/>
          <w:iCs/>
        </w:rPr>
        <w:t xml:space="preserve">Naval Research Logistics Quarterly</w:t>
      </w:r>
      <w:r>
        <w:t xml:space="preserve"> </w:t>
      </w:r>
      <w:r>
        <w:t xml:space="preserve">2 (1–2): 83–97.</w:t>
      </w:r>
      <w:r>
        <w:t xml:space="preserve"> </w:t>
      </w:r>
      <w:hyperlink r:id="rId54">
        <w:r>
          <w:rPr>
            <w:rStyle w:val="Hyperlink"/>
          </w:rPr>
          <w:t xml:space="preserve">https://doi.org/10.1002/nav.3800020109</w:t>
        </w:r>
      </w:hyperlink>
      <w:r>
        <w:t xml:space="preserve">.</w:t>
      </w:r>
    </w:p>
    <w:bookmarkEnd w:id="55"/>
    <w:bookmarkStart w:id="57" w:name="ref-eo1_botswana"/>
    <w:p>
      <w:pPr>
        <w:pStyle w:val="Bibliography"/>
      </w:pPr>
      <w:r>
        <w:t xml:space="preserve">NASA EO-1 Hyperion Mission. 2001.</w:t>
      </w:r>
      <w:r>
        <w:t xml:space="preserve"> </w:t>
      </w:r>
      <w:r>
        <w:rPr>
          <w:i/>
          <w:iCs/>
        </w:rPr>
        <w:t xml:space="preserve">EO-1 Hyperion</w:t>
      </w:r>
      <w:r>
        <w:rPr>
          <w:i/>
          <w:iCs/>
        </w:rPr>
        <w:t xml:space="preserve"> </w:t>
      </w:r>
      <w:r>
        <w:rPr>
          <w:i/>
          <w:iCs/>
        </w:rPr>
        <w:t xml:space="preserve">Okavango</w:t>
      </w:r>
      <w:r>
        <w:rPr>
          <w:i/>
          <w:iCs/>
        </w:rPr>
        <w:t xml:space="preserve"> </w:t>
      </w:r>
      <w:r>
        <w:rPr>
          <w:i/>
          <w:iCs/>
        </w:rPr>
        <w:t xml:space="preserve">Botswana</w:t>
      </w:r>
      <w:r>
        <w:rPr>
          <w:i/>
          <w:iCs/>
        </w:rPr>
        <w:t xml:space="preserve"> </w:t>
      </w:r>
      <w:r>
        <w:rPr>
          <w:i/>
          <w:iCs/>
        </w:rPr>
        <w:t xml:space="preserve">Hyperspectral Imagery</w:t>
      </w:r>
      <w:r>
        <w:t xml:space="preserve">.</w:t>
      </w:r>
      <w:r>
        <w:t xml:space="preserve"> </w:t>
      </w:r>
      <w:hyperlink r:id="rId56">
        <w:r>
          <w:rPr>
            <w:rStyle w:val="Hyperlink"/>
          </w:rPr>
          <w:t xml:space="preserve">https://www.ehu.eus/ccwintco/index.php/Hyperspectral_Remote_Sensing_Scenes#Botswana</w:t>
        </w:r>
      </w:hyperlink>
      <w:r>
        <w:t xml:space="preserve">.</w:t>
      </w:r>
    </w:p>
    <w:bookmarkEnd w:id="57"/>
    <w:bookmarkStart w:id="59" w:name="ref-aviris_ksc"/>
    <w:p>
      <w:pPr>
        <w:pStyle w:val="Bibliography"/>
      </w:pPr>
      <w:r>
        <w:t xml:space="preserve">NASA/JPL Airborne Visible/Infrared Imaging Spectrometer Project. 1996.</w:t>
      </w:r>
      <w:r>
        <w:t xml:space="preserve"> </w:t>
      </w:r>
      <w:r>
        <w:rPr>
          <w:i/>
          <w:iCs/>
        </w:rPr>
        <w:t xml:space="preserve">AVIRIS</w:t>
      </w:r>
      <w:r>
        <w:rPr>
          <w:i/>
          <w:iCs/>
        </w:rPr>
        <w:t xml:space="preserve"> </w:t>
      </w:r>
      <w:r>
        <w:rPr>
          <w:i/>
          <w:iCs/>
        </w:rPr>
        <w:t xml:space="preserve">Kennedy</w:t>
      </w:r>
      <w:r>
        <w:rPr>
          <w:i/>
          <w:iCs/>
        </w:rPr>
        <w:t xml:space="preserve"> </w:t>
      </w:r>
      <w:r>
        <w:rPr>
          <w:i/>
          <w:iCs/>
        </w:rPr>
        <w:t xml:space="preserve">Space</w:t>
      </w:r>
      <w:r>
        <w:rPr>
          <w:i/>
          <w:iCs/>
        </w:rPr>
        <w:t xml:space="preserve"> </w:t>
      </w:r>
      <w:r>
        <w:rPr>
          <w:i/>
          <w:iCs/>
        </w:rPr>
        <w:t xml:space="preserve">Center</w:t>
      </w:r>
      <w:r>
        <w:rPr>
          <w:i/>
          <w:iCs/>
        </w:rPr>
        <w:t xml:space="preserve"> </w:t>
      </w:r>
      <w:r>
        <w:rPr>
          <w:i/>
          <w:iCs/>
        </w:rPr>
        <w:t xml:space="preserve">Hyperspectral Imagery</w:t>
      </w:r>
      <w:r>
        <w:t xml:space="preserve">.</w:t>
      </w:r>
      <w:r>
        <w:t xml:space="preserve"> </w:t>
      </w:r>
      <w:hyperlink r:id="rId58">
        <w:r>
          <w:rPr>
            <w:rStyle w:val="Hyperlink"/>
          </w:rPr>
          <w:t xml:space="preserve">https://www.ehu.eus/ccwintco/index.php/Hyperspectral_Remote_Sensing_Scenes#Kennedy_Space_Center_.28KSC.29</w:t>
        </w:r>
      </w:hyperlink>
      <w:r>
        <w:t xml:space="preserve">.</w:t>
      </w:r>
    </w:p>
    <w:bookmarkEnd w:id="59"/>
    <w:bookmarkStart w:id="61" w:name="ref-aviris_salinas"/>
    <w:p>
      <w:pPr>
        <w:pStyle w:val="Bibliography"/>
      </w:pPr>
      <w:r>
        <w:t xml:space="preserve">NASA/JPL Airborne Visible/Infrared Imaging Spectrometer Project. 1998.</w:t>
      </w:r>
      <w:r>
        <w:t xml:space="preserve"> </w:t>
      </w:r>
      <w:r>
        <w:rPr>
          <w:i/>
          <w:iCs/>
        </w:rPr>
        <w:t xml:space="preserve">AVIRIS</w:t>
      </w:r>
      <w:r>
        <w:rPr>
          <w:i/>
          <w:iCs/>
        </w:rPr>
        <w:t xml:space="preserve"> </w:t>
      </w:r>
      <w:r>
        <w:rPr>
          <w:i/>
          <w:iCs/>
        </w:rPr>
        <w:t xml:space="preserve">Hyperspectral Imagery:</w:t>
      </w:r>
      <w:r>
        <w:rPr>
          <w:i/>
          <w:iCs/>
        </w:rPr>
        <w:t xml:space="preserve"> </w:t>
      </w:r>
      <w:r>
        <w:rPr>
          <w:i/>
          <w:iCs/>
        </w:rPr>
        <w:t xml:space="preserve">Salinas</w:t>
      </w:r>
      <w:r>
        <w:rPr>
          <w:i/>
          <w:iCs/>
        </w:rPr>
        <w:t xml:space="preserve"> </w:t>
      </w:r>
      <w:r>
        <w:rPr>
          <w:i/>
          <w:iCs/>
        </w:rPr>
        <w:t xml:space="preserve">Valley</w:t>
      </w:r>
      <w:r>
        <w:rPr>
          <w:i/>
          <w:iCs/>
        </w:rPr>
        <w:t xml:space="preserve">,</w:t>
      </w:r>
      <w:r>
        <w:rPr>
          <w:i/>
          <w:iCs/>
        </w:rPr>
        <w:t xml:space="preserve"> </w:t>
      </w:r>
      <w:r>
        <w:rPr>
          <w:i/>
          <w:iCs/>
        </w:rPr>
        <w:t xml:space="preserve">California</w:t>
      </w:r>
      <w:r>
        <w:t xml:space="preserve">.</w:t>
      </w:r>
      <w:r>
        <w:t xml:space="preserve"> </w:t>
      </w:r>
      <w:hyperlink r:id="rId60">
        <w:r>
          <w:rPr>
            <w:rStyle w:val="Hyperlink"/>
          </w:rPr>
          <w:t xml:space="preserve">https://www.ehu.eus/ccwintco/index.php/Hyperspectral_Remote_Sensing_Scenes#Salinas_scene</w:t>
        </w:r>
      </w:hyperlink>
      <w:r>
        <w:t xml:space="preserve">.</w:t>
      </w:r>
    </w:p>
    <w:bookmarkEnd w:id="61"/>
    <w:bookmarkStart w:id="63" w:name="ref-pedregosa2011scikit"/>
    <w:p>
      <w:pPr>
        <w:pStyle w:val="Bibliography"/>
      </w:pPr>
      <w:r>
        <w:t xml:space="preserve">Pedregosa, F., G. Varoquaux, A. Gramfort, et al. 2011.</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w:t>
      </w:r>
      <w:r>
        <w:t xml:space="preserve">12: 2825–30.</w:t>
      </w:r>
      <w:r>
        <w:t xml:space="preserve"> </w:t>
      </w:r>
      <w:hyperlink r:id="rId62">
        <w:r>
          <w:rPr>
            <w:rStyle w:val="Hyperlink"/>
          </w:rPr>
          <w:t xml:space="preserve">https://jmlr.org/papers/v12/pedregosa11a.html</w:t>
        </w:r>
      </w:hyperlink>
      <w:r>
        <w:t xml:space="preserve">.</w:t>
      </w:r>
    </w:p>
    <w:bookmarkEnd w:id="63"/>
    <w:bookmarkStart w:id="65" w:name="ref-santibanezleal2022procemin"/>
    <w:p>
      <w:pPr>
        <w:pStyle w:val="Bibliography"/>
      </w:pPr>
      <w:r>
        <w:t xml:space="preserve">Santibañez-Leal, Felipe A., Álvaro F. Egaña, Alejandro Ehrenfeld, Felipe Navarro, and Brian Townley. 2022.</w:t>
      </w:r>
      <w:r>
        <w:t xml:space="preserve"> </w:t>
      </w:r>
      <w:r>
        <w:t xml:space="preserve">“Geometallurgical Estimation of Mineral Samples from Hyperspectral Images and Statistical Topic Modelling.”</w:t>
      </w:r>
      <w:r>
        <w:t xml:space="preserve"> </w:t>
      </w:r>
      <w:r>
        <w:rPr>
          <w:i/>
          <w:iCs/>
        </w:rPr>
        <w:t xml:space="preserve">Proceedings of the 18th International Conference on Mineral Processing and Geometallurgy (Procemin Geomet 2022)</w:t>
      </w:r>
      <w:r>
        <w:t xml:space="preserve"> </w:t>
      </w:r>
      <w:r>
        <w:t xml:space="preserve">(Santiago, Chile).</w:t>
      </w:r>
      <w:r>
        <w:t xml:space="preserve"> </w:t>
      </w:r>
      <w:hyperlink r:id="rId64">
        <w:r>
          <w:rPr>
            <w:rStyle w:val="Hyperlink"/>
          </w:rPr>
          <w:t xml:space="preserve">https://www.researchgate.net/publication/369708272</w:t>
        </w:r>
      </w:hyperlink>
      <w:r>
        <w:t xml:space="preserve">.</w:t>
      </w:r>
    </w:p>
    <w:bookmarkEnd w:id="65"/>
    <w:bookmarkStart w:id="67" w:name="ref-scipy_assignment"/>
    <w:p>
      <w:pPr>
        <w:pStyle w:val="Bibliography"/>
      </w:pPr>
      <w:r>
        <w:t xml:space="preserve">SciPy Developers. 2024.</w:t>
      </w:r>
      <w:r>
        <w:t xml:space="preserve"> </w:t>
      </w:r>
      <w:r>
        <w:rPr>
          <w:rStyle w:val="VerbatimChar"/>
          <w:i/>
          <w:iCs/>
        </w:rPr>
        <w:t xml:space="preserve">scipy.optimize.linear_sum_assignment</w:t>
      </w:r>
      <w:r>
        <w:rPr>
          <w:i/>
          <w:iCs/>
        </w:rPr>
        <w:t xml:space="preserve">:</w:t>
      </w:r>
      <w:r>
        <w:rPr>
          <w:i/>
          <w:iCs/>
        </w:rPr>
        <w:t xml:space="preserve"> </w:t>
      </w:r>
      <w:r>
        <w:rPr>
          <w:i/>
          <w:iCs/>
        </w:rPr>
        <w:t xml:space="preserve">SciPy</w:t>
      </w:r>
      <w:r>
        <w:rPr>
          <w:i/>
          <w:iCs/>
        </w:rPr>
        <w:t xml:space="preserve"> </w:t>
      </w:r>
      <w:r>
        <w:rPr>
          <w:i/>
          <w:iCs/>
        </w:rPr>
        <w:t xml:space="preserve">Reference</w:t>
      </w:r>
      <w:r>
        <w:t xml:space="preserve">. Online; SciPy v1.13 reference manual.</w:t>
      </w:r>
      <w:r>
        <w:t xml:space="preserve"> </w:t>
      </w:r>
      <w:hyperlink r:id="rId66">
        <w:r>
          <w:rPr>
            <w:rStyle w:val="Hyperlink"/>
          </w:rPr>
          <w:t xml:space="preserve">https://docs.scipy.org/doc/scipy/reference/generated/scipy.optimize.linear_sum_assignment.html</w:t>
        </w:r>
      </w:hyperlink>
      <w:r>
        <w:t xml:space="preserve">.</w:t>
      </w:r>
    </w:p>
    <w:bookmarkEnd w:id="67"/>
    <w:bookmarkStart w:id="69" w:name="ref-vinh2010information"/>
    <w:p>
      <w:pPr>
        <w:pStyle w:val="Bibliography"/>
      </w:pPr>
      <w:r>
        <w:t xml:space="preserve">Vinh, Nguyen Xuan, Julien Epps, and James Bailey. 2010.</w:t>
      </w:r>
      <w:r>
        <w:t xml:space="preserve"> </w:t>
      </w:r>
      <w:r>
        <w:t xml:space="preserve">“Information Theoretic Measures for Clusterings Comparison: Variants, Properties, Normalization and Correction for Chance.”</w:t>
      </w:r>
      <w:r>
        <w:t xml:space="preserve"> </w:t>
      </w:r>
      <w:r>
        <w:rPr>
          <w:i/>
          <w:iCs/>
        </w:rPr>
        <w:t xml:space="preserve">Journal of Machine Learning Research</w:t>
      </w:r>
      <w:r>
        <w:t xml:space="preserve"> </w:t>
      </w:r>
      <w:r>
        <w:t xml:space="preserve">11: 2837–54.</w:t>
      </w:r>
      <w:r>
        <w:t xml:space="preserve"> </w:t>
      </w:r>
      <w:hyperlink r:id="rId68">
        <w:r>
          <w:rPr>
            <w:rStyle w:val="Hyperlink"/>
          </w:rPr>
          <w:t xml:space="preserve">https://jmlr.org/papers/v11/vinh10a.html</w:t>
        </w:r>
      </w:hyperlink>
      <w:r>
        <w:t xml:space="preserve">.</w:t>
      </w:r>
    </w:p>
    <w:bookmarkEnd w:id="69"/>
    <w:bookmarkStart w:id="71" w:name="ref-zou2017pmlda"/>
    <w:p>
      <w:pPr>
        <w:pStyle w:val="Bibliography"/>
      </w:pPr>
      <w:r>
        <w:t xml:space="preserve">Zou, Sheng, and Alina Zare. 2017.</w:t>
      </w:r>
      <w:r>
        <w:t xml:space="preserve"> </w:t>
      </w:r>
      <w:r>
        <w:t xml:space="preserve">“Hyperspectral Unmixing with Endmember Variability Using Partial Membership Latent</w:t>
      </w:r>
      <w:r>
        <w:t xml:space="preserve"> </w:t>
      </w:r>
      <w:r>
        <w:t xml:space="preserve">Dirichlet</w:t>
      </w:r>
      <w:r>
        <w:t xml:space="preserve"> </w:t>
      </w:r>
      <w:r>
        <w:t xml:space="preserve">Allocation.”</w:t>
      </w:r>
      <w:r>
        <w:t xml:space="preserve"> </w:t>
      </w:r>
      <w:r>
        <w:rPr>
          <w:i/>
          <w:iCs/>
        </w:rPr>
        <w:t xml:space="preserve">Proc. IEEE Int. Conf. Acoust., Speech, Signal Process. (ICASSP)</w:t>
      </w:r>
      <w:r>
        <w:t xml:space="preserve">, 6200–6204.</w:t>
      </w:r>
      <w:r>
        <w:t xml:space="preserve"> </w:t>
      </w:r>
      <w:hyperlink r:id="rId70">
        <w:r>
          <w:rPr>
            <w:rStyle w:val="Hyperlink"/>
          </w:rPr>
          <w:t xml:space="preserve">https://doi.org/10.1109/ICASSP.2017.7953348</w:t>
        </w:r>
      </w:hyperlink>
      <w:r>
        <w:t xml:space="preserve">.</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df" /><Relationship Type="http://schemas.openxmlformats.org/officeDocument/2006/relationships/image" Id="rId17" Target="media/rId17.pdf" /><Relationship Type="http://schemas.openxmlformats.org/officeDocument/2006/relationships/hyperlink" Id="rId66" Target="https://docs.scipy.org/doc/scipy/reference/generated/scipy.optimize.linear_sum_assignment.html" TargetMode="External" /><Relationship Type="http://schemas.openxmlformats.org/officeDocument/2006/relationships/hyperlink" Id="rId54" Target="https://doi.org/10.1002/nav.3800020109" TargetMode="External" /><Relationship Type="http://schemas.openxmlformats.org/officeDocument/2006/relationships/hyperlink" Id="rId52" Target="https://doi.org/10.1007/BF01908075" TargetMode="External" /><Relationship Type="http://schemas.openxmlformats.org/officeDocument/2006/relationships/hyperlink" Id="rId40" Target="https://doi.org/10.1016/0034-4257(89)90069-2" TargetMode="External" /><Relationship Type="http://schemas.openxmlformats.org/officeDocument/2006/relationships/hyperlink" Id="rId44" Target="https://doi.org/10.1038/s41597-023-02061-x" TargetMode="External" /><Relationship Type="http://schemas.openxmlformats.org/officeDocument/2006/relationships/hyperlink" Id="rId48" Target="https://doi.org/10.1073/pnas.0307752101" TargetMode="External" /><Relationship Type="http://schemas.openxmlformats.org/officeDocument/2006/relationships/hyperlink" Id="rId70" Target="https://doi.org/10.1109/ICASSP.2017.7953348" TargetMode="External" /><Relationship Type="http://schemas.openxmlformats.org/officeDocument/2006/relationships/hyperlink" Id="rId36" Target="https://doi.org/10.1109/JSTARS.2012.2194696" TargetMode="External" /><Relationship Type="http://schemas.openxmlformats.org/officeDocument/2006/relationships/hyperlink" Id="rId34" Target="https://doi.org/10.4231/R7RX991C" TargetMode="External" /><Relationship Type="http://schemas.openxmlformats.org/officeDocument/2006/relationships/hyperlink" Id="rId42" Target="https://doi.org/10.6084/m9.figshare.c.5983921.v1" TargetMode="External" /><Relationship Type="http://schemas.openxmlformats.org/officeDocument/2006/relationships/hyperlink" Id="rId29" Target="https://github.com/fsantibanezleal/CAOS_LDA_HSI" TargetMode="External" /><Relationship Type="http://schemas.openxmlformats.org/officeDocument/2006/relationships/hyperlink" Id="rId68" Target="https://jmlr.org/papers/v11/vinh10a.html" TargetMode="External" /><Relationship Type="http://schemas.openxmlformats.org/officeDocument/2006/relationships/hyperlink" Id="rId62" Target="https://jmlr.org/papers/v12/pedregosa11a.html" TargetMode="External" /><Relationship Type="http://schemas.openxmlformats.org/officeDocument/2006/relationships/hyperlink" Id="rId38" Target="https://jmlr.org/papers/v3/blei03a.html" TargetMode="External" /><Relationship Type="http://schemas.openxmlformats.org/officeDocument/2006/relationships/hyperlink" Id="rId30" Target="https://lda-hsi.fasl-work.com" TargetMode="External" /><Relationship Type="http://schemas.openxmlformats.org/officeDocument/2006/relationships/hyperlink" Id="rId50" Target="https://papers.nips.cc/paper/3902-online-learning-for-latent-dirichlet-allocation" TargetMode="External" /><Relationship Type="http://schemas.openxmlformats.org/officeDocument/2006/relationships/hyperlink" Id="rId56" Target="https://www.ehu.eus/ccwintco/index.php/Hyperspectral_Remote_Sensing_Scenes#Botswana" TargetMode="External" /><Relationship Type="http://schemas.openxmlformats.org/officeDocument/2006/relationships/hyperlink" Id="rId58" Target="https://www.ehu.eus/ccwintco/index.php/Hyperspectral_Remote_Sensing_Scenes#Kennedy_Space_Center_.28KSC.29" TargetMode="External" /><Relationship Type="http://schemas.openxmlformats.org/officeDocument/2006/relationships/hyperlink" Id="rId46" Target="https://www.ehu.eus/ccwintco/index.php/Hyperspectral_Remote_Sensing_Scenes#Pavia_University_scene" TargetMode="External" /><Relationship Type="http://schemas.openxmlformats.org/officeDocument/2006/relationships/hyperlink" Id="rId60" Target="https://www.ehu.eus/ccwintco/index.php/Hyperspectral_Remote_Sensing_Scenes#Salinas_scene" TargetMode="External" /><Relationship Type="http://schemas.openxmlformats.org/officeDocument/2006/relationships/hyperlink" Id="rId64" Target="https://www.researchgate.net/publication/369708272" TargetMode="External" /></Relationships>
</file>

<file path=word/_rels/footnotes.xml.rels><?xml version="1.0" encoding="UTF-8"?><Relationships xmlns="http://schemas.openxmlformats.org/package/2006/relationships"><Relationship Type="http://schemas.openxmlformats.org/officeDocument/2006/relationships/hyperlink" Id="rId66" Target="https://docs.scipy.org/doc/scipy/reference/generated/scipy.optimize.linear_sum_assignment.html" TargetMode="External" /><Relationship Type="http://schemas.openxmlformats.org/officeDocument/2006/relationships/hyperlink" Id="rId54" Target="https://doi.org/10.1002/nav.3800020109" TargetMode="External" /><Relationship Type="http://schemas.openxmlformats.org/officeDocument/2006/relationships/hyperlink" Id="rId52" Target="https://doi.org/10.1007/BF01908075" TargetMode="External" /><Relationship Type="http://schemas.openxmlformats.org/officeDocument/2006/relationships/hyperlink" Id="rId40" Target="https://doi.org/10.1016/0034-4257(89)90069-2" TargetMode="External" /><Relationship Type="http://schemas.openxmlformats.org/officeDocument/2006/relationships/hyperlink" Id="rId44" Target="https://doi.org/10.1038/s41597-023-02061-x" TargetMode="External" /><Relationship Type="http://schemas.openxmlformats.org/officeDocument/2006/relationships/hyperlink" Id="rId48" Target="https://doi.org/10.1073/pnas.0307752101" TargetMode="External" /><Relationship Type="http://schemas.openxmlformats.org/officeDocument/2006/relationships/hyperlink" Id="rId70" Target="https://doi.org/10.1109/ICASSP.2017.7953348" TargetMode="External" /><Relationship Type="http://schemas.openxmlformats.org/officeDocument/2006/relationships/hyperlink" Id="rId36" Target="https://doi.org/10.1109/JSTARS.2012.2194696" TargetMode="External" /><Relationship Type="http://schemas.openxmlformats.org/officeDocument/2006/relationships/hyperlink" Id="rId34" Target="https://doi.org/10.4231/R7RX991C" TargetMode="External" /><Relationship Type="http://schemas.openxmlformats.org/officeDocument/2006/relationships/hyperlink" Id="rId42" Target="https://doi.org/10.6084/m9.figshare.c.5983921.v1" TargetMode="External" /><Relationship Type="http://schemas.openxmlformats.org/officeDocument/2006/relationships/hyperlink" Id="rId29" Target="https://github.com/fsantibanezleal/CAOS_LDA_HSI" TargetMode="External" /><Relationship Type="http://schemas.openxmlformats.org/officeDocument/2006/relationships/hyperlink" Id="rId68" Target="https://jmlr.org/papers/v11/vinh10a.html" TargetMode="External" /><Relationship Type="http://schemas.openxmlformats.org/officeDocument/2006/relationships/hyperlink" Id="rId62" Target="https://jmlr.org/papers/v12/pedregosa11a.html" TargetMode="External" /><Relationship Type="http://schemas.openxmlformats.org/officeDocument/2006/relationships/hyperlink" Id="rId38" Target="https://jmlr.org/papers/v3/blei03a.html" TargetMode="External" /><Relationship Type="http://schemas.openxmlformats.org/officeDocument/2006/relationships/hyperlink" Id="rId30" Target="https://lda-hsi.fasl-work.com" TargetMode="External" /><Relationship Type="http://schemas.openxmlformats.org/officeDocument/2006/relationships/hyperlink" Id="rId50" Target="https://papers.nips.cc/paper/3902-online-learning-for-latent-dirichlet-allocation" TargetMode="External" /><Relationship Type="http://schemas.openxmlformats.org/officeDocument/2006/relationships/hyperlink" Id="rId56" Target="https://www.ehu.eus/ccwintco/index.php/Hyperspectral_Remote_Sensing_Scenes#Botswana" TargetMode="External" /><Relationship Type="http://schemas.openxmlformats.org/officeDocument/2006/relationships/hyperlink" Id="rId58" Target="https://www.ehu.eus/ccwintco/index.php/Hyperspectral_Remote_Sensing_Scenes#Kennedy_Space_Center_.28KSC.29" TargetMode="External" /><Relationship Type="http://schemas.openxmlformats.org/officeDocument/2006/relationships/hyperlink" Id="rId46" Target="https://www.ehu.eus/ccwintco/index.php/Hyperspectral_Remote_Sensing_Scenes#Pavia_University_scene" TargetMode="External" /><Relationship Type="http://schemas.openxmlformats.org/officeDocument/2006/relationships/hyperlink" Id="rId60" Target="https://www.ehu.eus/ccwintco/index.php/Hyperspectral_Remote_Sensing_Scenes#Salinas_scene" TargetMode="External" /><Relationship Type="http://schemas.openxmlformats.org/officeDocument/2006/relationships/hyperlink" Id="rId64" Target="https://www.researchgate.net/publication/3697082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Band-Mask Robustness Diagnostic for Latent Dirichlet Allocation on Hyperspectral Imagery</dc:title>
  <dc:creator/>
  <cp:keywords/>
  <dcterms:created xsi:type="dcterms:W3CDTF">2026-09-18T08:19:36Z</dcterms:created>
  <dcterms:modified xsi:type="dcterms:W3CDTF">2026-09-18T08:19:36Z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Latent Dirichlet Allocation (LDA) and its neural variants are increasingly used as interpretable spectral mixture models on hyperspectral imagery. Their seed and capacity stability has been studied at length; their robustness to the choice of spectral window has not. We introduce a band-mask robustness diagnostic that refits a canonical LDA model under four band-restriction policies (VNIR-only, SWIR-only, atmospheric-water-band removal, top-50 Fisher discriminant) and compares the masked dominant-topic maps against the canonical fit via the adjusted Rand index after a Hungarian topic-id alignment. Applied to six standard hyperspectral scenes (Indian Pines, Salinas, Salinas-A, Pavia U, Kennedy Space Center, Botswana) and five HIDSAG mineral subsets, the diagnostic separates the scenes: topic identities on Salinas-A under SWIR-only restriction recover the canonical assignment with paired ARI =0.77, while KSC paired ARI is \approx 0.01 under every mask, and Botswana falls to \approx 0.01 only under SWIR (elsewhere 0.11–0.13). The diagnostic therefore separates scenes on which any “interpretable spectral mixture” claim is band-robust from scenes on which it is not. We release the full sweep (44 LDA refit attempts, 43 successful) as a public, deterministic artefact set under a permissive licence to support follow-on work.</vt:lpwstr>
  </property>
  <property fmtid="{D5CDD505-2E9C-101B-9397-08002B2CF9AE}" pid="3" name="bibliography">
    <vt:lpwstr>../../bibliography/refs.bib</vt:lpwstr>
  </property>
</Properties>
</file>