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df" ContentType="application/pdf"/>
  <Override PartName="/word/media/rId42.pdf" ContentType="application/pdf"/>
  <Override PartName="/word/media/rId26.pdf" ContentType="application/pdf"/>
  <Override PartName="/word/media/rId3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F — Extended per-axis results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full per-axis result tables for the 6</w:t>
      </w:r>
      <w:r>
        <w:t xml:space="preserve"> </w:t>
      </w:r>
      <w:r>
        <w:t xml:space="preserve">labelled scenes and 5 HIDSAG subsets that did not fit in journal</w:t>
      </w:r>
      <w:r>
        <w:t xml:space="preserve"> </w:t>
      </w:r>
      <w:r>
        <w:t xml:space="preserve">Section VI. All numbers are read directly from the public artefacts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CAOS_LDA_HSI/data/derived/</w:t>
      </w:r>
      <w:r>
        <w:t xml:space="preserve">.</w:t>
      </w:r>
    </w:p>
    <w:bookmarkEnd w:id="9"/>
    <w:bookmarkStart w:id="14" w:name="X410b271ad52135ce3a7b683fe2497b54545aa5c"/>
    <w:p>
      <w:pPr>
        <w:pStyle w:val="Heading1"/>
      </w:pPr>
      <w:r>
        <w:t xml:space="preserve">Axis F-1: hierarchical Bayesian classification —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</w:p>
    <w:bookmarkStart w:id="11" w:name="labelled-scene-block"/>
    <w:p>
      <w:pPr>
        <w:pStyle w:val="Heading2"/>
      </w:pPr>
      <w:r>
        <w:t xml:space="preserve">Labelled-scene block</w:t>
      </w:r>
    </w:p>
    <w:bookmarkStart w:id="10" w:name="tab:b1-pair-labelled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labelled-scene posterior (rows</w:t>
      </w:r>
      <w:r>
        <w:t xml:space="preserve"> </w:t>
      </w:r>
      <w:r>
        <w:t xml:space="preserve">= method A, columns = method B). Estimated from 2000 NUTS draws.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labelled-scene posterior (rows = method A, columns = method B). Estimated from 2000 NUTS draw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0"/>
    <w:p>
      <w:pPr>
        <w:pStyle w:val="BodyText"/>
      </w:pPr>
      <w:r>
        <w:t xml:space="preserve">The dominant observation is in the bottom-right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block: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hard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hard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0.68</m:t>
        </m:r>
      </m:oMath>
      <w:r>
        <w:t xml:space="preserve">. Topic-routed-soft is</w:t>
      </w:r>
      <w:r>
        <w:t xml:space="preserve"> </w:t>
      </w:r>
      <w:r>
        <w:t xml:space="preserve">the leading method by a small margin; topic-routed-hard and</w:t>
      </w:r>
      <w:r>
        <w:t xml:space="preserve"> </w:t>
      </w:r>
      <w:r>
        <w:t xml:space="preserve">raw-logistic are statistically indistinguishable. theta_logistic</w:t>
      </w:r>
      <w:r>
        <w:t xml:space="preserve"> </w:t>
      </w:r>
      <w:r>
        <w:t xml:space="preserve">alone is dominated by every other method, confirming that</w:t>
      </w:r>
      <w:r>
        <w:t xml:space="preserve"> </w:t>
      </w:r>
      <m:oMath>
        <m:r>
          <m:t>θ</m:t>
        </m:r>
      </m:oMath>
      <w:r>
        <w:t xml:space="preserve">-as-feature without the gating wrapper discards too much</w:t>
      </w:r>
      <w:r>
        <w:t xml:space="preserve"> </w:t>
      </w:r>
      <w:r>
        <w:t xml:space="preserve">information.</w:t>
      </w:r>
    </w:p>
    <w:bookmarkEnd w:id="11"/>
    <w:bookmarkStart w:id="13" w:name="hidsag-block"/>
    <w:p>
      <w:pPr>
        <w:pStyle w:val="Heading2"/>
      </w:pPr>
      <w:r>
        <w:t xml:space="preserve">HIDSAG block</w:t>
      </w:r>
    </w:p>
    <w:bookmarkStart w:id="12" w:name="tab:b1-pair-hidsag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HIDSAG posterior. Methods:</w:t>
      </w:r>
      <w:r>
        <w:t xml:space="preserve"> </w:t>
      </w:r>
      <w:r>
        <w:t xml:space="preserve">cube = cube-topic logistic, pca = PCA logistic, raw = raw logistic,</w:t>
      </w:r>
      <w:r>
        <w:t xml:space="preserve"> </w:t>
      </w:r>
      <w:r>
        <w:t xml:space="preserve">rgn = region-topic logistic,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topic logistic.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HIDSAG posterior. Methods: cube = cube-topic logistic, pca = PCA logistic, raw = raw logistic, rgn = region-topic logistic, \theta = topic log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rgn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2"/>
    <w:p>
      <w:pPr>
        <w:pStyle w:val="BodyText"/>
      </w:pPr>
      <w:r>
        <w:t xml:space="preserve">The HIDSAG inversion is the row-pattern of raw_logistic: 1.00, 0.72,</w:t>
      </w:r>
      <w:r>
        <w:t xml:space="preserve"> </w:t>
      </w:r>
      <w:r>
        <w:t xml:space="preserve">1.00, 1.00. Raw-spectrum logistic dominates every topic-based method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θ</m:t>
        </m:r>
      </m:oMath>
      <w:r>
        <w:t xml:space="preserve">-logistic and region-topic. The</w:t>
      </w:r>
      <w:r>
        <w:t xml:space="preserve"> </w:t>
      </w:r>
      <w:r>
        <w:t xml:space="preserve">ordering is exactly the labelled-scene ordering inverted.</w:t>
      </w:r>
    </w:p>
    <w:bookmarkEnd w:id="13"/>
    <w:bookmarkEnd w:id="14"/>
    <w:bookmarkStart w:id="16" w:name="axis-f-2-per-scene-coherence"/>
    <w:p>
      <w:pPr>
        <w:pStyle w:val="Heading1"/>
      </w:pPr>
      <w:r>
        <w:t xml:space="preserve">Axis F-2: per-scene coherence</w:t>
      </w:r>
    </w:p>
    <w:bookmarkStart w:id="15" w:name="tab:b2"/>
    <w:p>
      <w:pPr>
        <w:pStyle w:val="TableCaption"/>
      </w:pPr>
      <w:r>
        <w:t xml:space="preserve">Canonical-fit coherence per scene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top words.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-fit coherence per scene at N = 15 top wor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U-Mass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0.646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5"/>
    <w:bookmarkEnd w:id="16"/>
    <w:bookmarkStart w:id="18" w:name="axis-f-3-seed-stability-per-scene-method"/>
    <w:p>
      <w:pPr>
        <w:pStyle w:val="Heading1"/>
      </w:pPr>
      <w:r>
        <w:t xml:space="preserve">Axis F-3: seed stability per (scene, method)</w:t>
      </w:r>
    </w:p>
    <w:bookmarkStart w:id="17" w:name="tab:b3-full"/>
    <w:p>
      <w:pPr>
        <w:pStyle w:val="TableCaption"/>
      </w:pPr>
      <w:r>
        <w:t xml:space="preserve">ARI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 over 5 seeds.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mean reported alongside.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I mean \pm std over 5 seeds. c_v mean reported along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</w:tr>
    </w:tbl>
    <w:bookmarkEnd w:id="17"/>
    <w:p>
      <w:pPr>
        <w:pStyle w:val="BodyText"/>
      </w:pPr>
      <w:r>
        <w:t xml:space="preserve">Across the 12 (scene, method) cells, ETM achieves higher mean ARI on</w:t>
      </w:r>
      <w:r>
        <w:t xml:space="preserve"> </w:t>
      </w:r>
      <w:r>
        <w:t xml:space="preserve">6/6 scenes and lower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6/6. The within-seed standard</w:t>
      </w:r>
      <w:r>
        <w:t xml:space="preserve"> </w:t>
      </w:r>
      <w:r>
        <w:t xml:space="preserve">deviation is below 0.03 in every cell, confirming that the</w:t>
      </w:r>
      <w:r>
        <w:t xml:space="preserve"> </w:t>
      </w:r>
      <w:r>
        <w:t xml:space="preserve">neural-topic-model seed-stability is, on these benchmarks, a</w:t>
      </w:r>
      <w:r>
        <w:t xml:space="preserve"> </w:t>
      </w:r>
      <w:r>
        <w:t xml:space="preserve">mean-shift between methods rather than a per-method variance</w:t>
      </w:r>
      <w:r>
        <w:t xml:space="preserve"> </w:t>
      </w:r>
      <w:r>
        <w:t xml:space="preserve">problem.</w:t>
      </w:r>
    </w:p>
    <w:bookmarkEnd w:id="18"/>
    <w:bookmarkStart w:id="20" w:name="Xe7b936805621b785abab0b863d42d89fa9799a8"/>
    <w:p>
      <w:pPr>
        <w:pStyle w:val="Heading1"/>
      </w:pPr>
      <w:r>
        <w:t xml:space="preserve">Axis F-4: capacity sweep —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</w:t>
      </w:r>
    </w:p>
    <w:bookmarkStart w:id="19" w:name="tab:b4-recK"/>
    <w:p>
      <w:pPr>
        <w:pStyle w:val="TableCaption"/>
      </w:pPr>
      <w:r>
        <w:t xml:space="preserve">Per-scene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the LDA sweep. The recipe</w:t>
      </w:r>
      <w:r>
        <w:t xml:space="preserve"> </w:t>
      </w:r>
      <w:r>
        <w:t xml:space="preserve">selects the smallest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 the marginal perplexity drop falls</w:t>
      </w:r>
      <w:r>
        <w:t xml:space="preserve"> </w:t>
      </w:r>
      <w:r>
        <w:t xml:space="preserve">below threshold.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recommended K from the LDA sweep. The recipe selects the smallest K where the marginal perplexity drop falls below threshol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Recommended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{4,6,8,10,12,16}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</w:tbl>
    <w:bookmarkEnd w:id="19"/>
    <w:p>
      <w:pPr>
        <w:pStyle w:val="BodyText"/>
      </w:pPr>
      <w:r>
        <w:t xml:space="preserve">The recommendation is uniformly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under the</w:t>
      </w:r>
      <w:r>
        <w:t xml:space="preserve"> </w:t>
      </w:r>
      <w:r>
        <w:t xml:space="preserve">matched-cosine-plateau recipe, which is more conservative than the</w:t>
      </w:r>
      <w:r>
        <w:t xml:space="preserve"> </w:t>
      </w:r>
      <w:r>
        <w:t xml:space="preserve">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used elsewhere</w:t>
      </w:r>
      <w:r>
        <w:t xml:space="preserve"> </w:t>
      </w:r>
      <w:r>
        <w:t xml:space="preserve">in the paper. The difference is by design: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chosen for downstream classification surface coverage, the</w:t>
      </w:r>
      <w:r>
        <w:t xml:space="preserve"> </w:t>
      </w:r>
      <w:r>
        <w:t xml:space="preserve">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chosen for basis-stability.</w:t>
      </w:r>
    </w:p>
    <w:bookmarkEnd w:id="20"/>
    <w:bookmarkStart w:id="21" w:name="axis-f-5-full-paired-ari-per-scene-mask"/>
    <w:p>
      <w:pPr>
        <w:pStyle w:val="Heading1"/>
      </w:pPr>
      <w:r>
        <w:t xml:space="preserve">Axis F-5: full paired ARI per (scene, mask)</w:t>
      </w:r>
    </w:p>
    <w:p>
      <w:pPr>
        <w:pStyle w:val="FirstParagraph"/>
      </w:pPr>
      <w:r>
        <w:t xml:space="preserve">Restated from conference supplement D for completeness: paired ARI</w:t>
      </w:r>
      <w:r>
        <w:t xml:space="preserve"> </w:t>
      </w:r>
      <w:r>
        <w:t xml:space="preserve">values are in conference table I of the main paper. The full table</w:t>
      </w:r>
      <w:r>
        <w:t xml:space="preserve"> </w:t>
      </w:r>
      <w:r>
        <w:t xml:space="preserve">with swap rates, bands kept, perplexity, and ARI-vs-label is in</w:t>
      </w:r>
      <w:r>
        <w:t xml:space="preserve"> </w:t>
      </w:r>
      <w:r>
        <w:t xml:space="preserve">conference supplement D.</w:t>
      </w:r>
    </w:p>
    <w:bookmarkEnd w:id="21"/>
    <w:bookmarkStart w:id="23" w:name="axis-f-6-cross-method-ari-per-scene"/>
    <w:p>
      <w:pPr>
        <w:pStyle w:val="Heading1"/>
      </w:pPr>
      <w:r>
        <w:t xml:space="preserve">Axis F-6: cross-method ARI per scene</w:t>
      </w:r>
    </w:p>
    <w:bookmarkStart w:id="22" w:name="tab:b6-ip"/>
    <w:p>
      <w:pPr>
        <w:pStyle w:val="TableCaption"/>
      </w:pPr>
      <w:r>
        <w:t xml:space="preserve">Cross-method ARI on Indian Pines (excerpt from journal Table</w:t>
      </w:r>
      <w:r>
        <w:t xml:space="preserve"> </w:t>
      </w:r>
      <w:r>
        <w:t xml:space="preserve">III). Full per-scene tables in companion artefact</w:t>
      </w:r>
      <w:r>
        <w:t xml:space="preserve"> </w:t>
      </w:r>
      <w:r>
        <w:rPr>
          <w:rStyle w:val="VerbatimChar"/>
        </w:rPr>
        <w:t xml:space="preserve">cross_method_agreement/&lt;scene&gt;.json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method ARI on Indian Pines (excerpt from journal Table III). Full per-scene tables in companion artefact cross_method_agreement/&lt;scene&gt;.js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"/>
    <w:bookmarkEnd w:id="23"/>
    <w:bookmarkStart w:id="25" w:name="axis-f-7-topiclabel-coupling-per-scene"/>
    <w:p>
      <w:pPr>
        <w:pStyle w:val="Heading1"/>
      </w:pPr>
      <w:r>
        <w:t xml:space="preserve">Axis F-7: topic–label coupling per scene</w:t>
      </w:r>
    </w:p>
    <w:bookmarkStart w:id="24" w:name="tab:b7"/>
    <w:p>
      <w:pPr>
        <w:pStyle w:val="TableCaption"/>
      </w:pPr>
      <w:r>
        <w:t xml:space="preserve">Per-scene mean and max KL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on the canonical fit.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mean and max KL between P(L \mid t) and the marginal P(L) on the canonical fi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24"/>
    <w:bookmarkEnd w:id="25"/>
    <w:bookmarkStart w:id="31" w:name="X03a497aaac531bc1fbcebda28788d7cd900cf8e"/>
    <w:p>
      <w:pPr>
        <w:pStyle w:val="Heading1"/>
      </w:pPr>
      <w:r>
        <w:t xml:space="preserve">Axis F-9: HIDSAG preprocessing stability per subset</w:t>
      </w:r>
    </w:p>
    <w:bookmarkStart w:id="29" w:name="fig:f9-hidsag-prep"/>
    <w:p>
      <w:pPr>
        <w:pStyle w:val="CaptionedFigure"/>
      </w:pPr>
      <w:r>
        <w:drawing>
          <wp:inline>
            <wp:extent cx="5334000" cy="361796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hidsag-preprocessing-stability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F-9 cross-preprocessing stability on the 5 HIDSAG mineral</w:t>
      </w:r>
      <w:r>
        <w:t xml:space="preserve"> </w:t>
      </w:r>
      <w:r>
        <w:t xml:space="preserve">subsets. Each panel is a 4×4 matched-Jaccard@top-15 heatmap between</w:t>
      </w:r>
      <w:r>
        <w:t xml:space="preserve"> </w:t>
      </w:r>
      <w:r>
        <w:t xml:space="preserve">LDA refits under four preprocessing policies (raw, bad-band mask,</w:t>
      </w:r>
      <w:r>
        <w:t xml:space="preserve"> </w:t>
      </w:r>
      <w:r>
        <w:t xml:space="preserve">bb + SNV, bb + SavGol + SNV). Panel title gives the off-diagonal</w:t>
      </w:r>
      <w:r>
        <w:t xml:space="preserve"> </w:t>
      </w:r>
      <w:r>
        <w:t xml:space="preserve">mean — the formal F-9 metric. MINERAL2 / GEOCHEM / PORPHYRY show</w:t>
      </w:r>
      <w:r>
        <w:t xml:space="preserve"> </w:t>
      </w:r>
      <w:r>
        <w:t xml:space="preserve">high agreement between the two SavGol-flavoured recipes</w:t>
      </w:r>
      <w:r>
        <w:t xml:space="preserve"> </w:t>
      </w:r>
      <w:r>
        <w:t xml:space="preserve">(matched-Jaccard</w:t>
      </w:r>
      <w:r>
        <w:t xml:space="preserve"> </w:t>
      </w:r>
      <m:oMath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on the bottom-right</w:t>
      </w:r>
      <w:r>
        <w:t xml:space="preserve"> </w:t>
      </w:r>
      <m:oMath>
        <m:r>
          <m:t>2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2</m:t>
        </m:r>
      </m:oMath>
      <w:r>
        <w:t xml:space="preserve"> </w:t>
      </w:r>
      <w:r>
        <w:t xml:space="preserve">block)</w:t>
      </w:r>
      <w:r>
        <w:t xml:space="preserve"> </w:t>
      </w:r>
      <w:r>
        <w:t xml:space="preserve">but near-zero agreement against the raw baseline.</w:t>
      </w:r>
    </w:p>
    <w:bookmarkEnd w:id="29"/>
    <w:bookmarkStart w:id="30" w:name="tab:f9"/>
    <w:p>
      <w:pPr>
        <w:pStyle w:val="TableCaption"/>
      </w:pPr>
      <w:r>
        <w:t xml:space="preserve">F-9 off-diagonal mean per HIDSAG subset, read from</w:t>
      </w:r>
      <w:r>
        <w:t xml:space="preserve"> </w:t>
      </w:r>
      <w:r>
        <w:rPr>
          <w:rStyle w:val="VerbatimChar"/>
        </w:rPr>
        <w:t xml:space="preserve">hidsag_cross_preprocessing_stability/&lt;subset&gt;.json</w:t>
      </w:r>
      <w:r>
        <w:t xml:space="preserve"> </w:t>
      </w:r>
      <w:r>
        <w:t xml:space="preserve">field</w:t>
      </w:r>
      <w:r>
        <w:t xml:space="preserve"> </w:t>
      </w:r>
      <w:r>
        <w:rPr>
          <w:rStyle w:val="VerbatimChar"/>
        </w:rPr>
        <w:t xml:space="preserve">off_diagonal_summary.off_diagonal_mean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9 off-diagonal mean per HIDSAG subset, read from hidsag_cross_preprocessing_stability/&lt;subset&gt;.json field off_diagonal_summary.off_diagonal_mea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off-diag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GEOCHEM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PORPHYRY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bookmarkEnd w:id="30"/>
    <w:bookmarkEnd w:id="31"/>
    <w:bookmarkStart w:id="36" w:name="axis-f-10-cross-scene-topic-transfer"/>
    <w:p>
      <w:pPr>
        <w:pStyle w:val="Heading1"/>
      </w:pPr>
      <w:r>
        <w:t xml:space="preserve">Axis F-10: cross-scene topic transfer</w:t>
      </w:r>
    </w:p>
    <w:bookmarkStart w:id="35" w:name="fig:f10-transfer"/>
    <w:p>
      <w:pPr>
        <w:pStyle w:val="CaptionedFigure"/>
      </w:pPr>
      <w:r>
        <w:drawing>
          <wp:inline>
            <wp:extent cx="5334000" cy="42088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ross-scene-transfer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F-10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macro-F1 cross-scene transfer matrix. Rows</w:t>
      </w:r>
      <w:r>
        <w:t xml:space="preserve"> </w:t>
      </w:r>
      <w:r>
        <w:t xml:space="preserve">= source scene where the topic basis is trained; columns = target</w:t>
      </w:r>
      <w:r>
        <w:t xml:space="preserve"> </w:t>
      </w:r>
      <w:r>
        <w:t xml:space="preserve">scene where a linear head is refit. Diagonal cells (in-distribution</w:t>
      </w:r>
      <w:r>
        <w:t xml:space="preserve"> </w:t>
      </w:r>
      <w:r>
        <w:t xml:space="preserve">baselines) are outlined in white. Pavia U is omitted because the</w:t>
      </w:r>
      <w:r>
        <w:t xml:space="preserve"> </w:t>
      </w:r>
      <w:r>
        <w:t xml:space="preserve">ROSIS 430–860 nm band range does not intersect cleanly with the</w:t>
      </w:r>
      <w:r>
        <w:t xml:space="preserve"> </w:t>
      </w:r>
      <w:r>
        <w:t xml:space="preserve">SWIR-spanning AVIRIS / Hyperion scenes’ canonical grid.</w:t>
      </w:r>
    </w:p>
    <w:bookmarkEnd w:id="35"/>
    <w:p>
      <w:pPr>
        <w:pStyle w:val="BodyText"/>
      </w:pPr>
      <w:r>
        <w:t xml:space="preserve">Salinas-A is the easiest target column (macro-F1</w:t>
      </w:r>
      <w:r>
        <w:t xml:space="preserve"> </w:t>
      </w:r>
      <m:oMath>
        <m:r>
          <m:t>0.65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from every source). KSC and Botswana are the hardest targets</w:t>
      </w:r>
      <w:r>
        <w:t xml:space="preserve"> </w:t>
      </w:r>
      <w:r>
        <w:t xml:space="preserve">(column means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). This complements the F-5</w:t>
      </w:r>
      <w:r>
        <w:t xml:space="preserve"> </w:t>
      </w:r>
      <w:r>
        <w:t xml:space="preserve">band-mask diagnostic: scenes whose canonical topics are</w:t>
      </w:r>
      <w:r>
        <w:t xml:space="preserve"> </w:t>
      </w:r>
      <w:r>
        <w:t xml:space="preserve">band-fragile are also harder cross-scene transfer targets.</w:t>
      </w:r>
    </w:p>
    <w:bookmarkEnd w:id="36"/>
    <w:bookmarkStart w:id="41" w:name="axis-f-11-ratedistortion"/>
    <w:p>
      <w:pPr>
        <w:pStyle w:val="Heading1"/>
      </w:pPr>
      <w:r>
        <w:t xml:space="preserve">Axis F-11: rate–distortion</w:t>
      </w:r>
    </w:p>
    <w:bookmarkStart w:id="40" w:name="fig:f11-rd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ate-distortion.pdf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F-11 rate–distortion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LDA / NMF / PCA per</w:t>
      </w:r>
      <w:r>
        <w:t xml:space="preserve"> </w:t>
      </w:r>
      <w:r>
        <w:t xml:space="preserve">scene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. X-axis: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 Y-axis: normalised held-out RMSE of the</w:t>
      </w:r>
      <w:r>
        <w:t xml:space="preserve"> </w:t>
      </w:r>
      <w:r>
        <w:t xml:space="preserve">reconstruction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r>
          <m:t>θ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quantised band-frequency space. Tokenisation-loss caveat applies</w:t>
      </w:r>
      <w:r>
        <w:t xml:space="preserve"> </w:t>
      </w:r>
      <w:r>
        <w:t xml:space="preserve">(the curves mix a quantisation component with the topic-basis</w:t>
      </w:r>
      <w:r>
        <w:t xml:space="preserve"> </w:t>
      </w:r>
      <w:r>
        <w:t xml:space="preserve">reconstruction error); see Suppl G §Reporting choices.</w:t>
      </w:r>
    </w:p>
    <w:bookmarkEnd w:id="40"/>
    <w:bookmarkEnd w:id="41"/>
    <w:bookmarkStart w:id="46" w:name="X5ae1f51ff6774f2a95931ffde85d78c24978a9c"/>
    <w:p>
      <w:pPr>
        <w:pStyle w:val="Heading1"/>
      </w:pPr>
      <w:r>
        <w:t xml:space="preserve">Companion: deep-encoder seed stability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</w:p>
    <w:bookmarkStart w:id="45" w:name="fig:n30-deep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eep-seed-stability-n30.pdf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Deep-encoder seed-stability swarm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 per</w:t>
      </w:r>
      <w:r>
        <w:t xml:space="preserve"> </w:t>
      </w:r>
      <w:r>
        <w:t xml:space="preserve">(scene, method). Per-seed ARI dots (jittered) with horizontal mean</w:t>
      </w:r>
      <w:r>
        <w:t xml:space="preserve"> </w:t>
      </w:r>
      <w:r>
        <w:t xml:space="preserve">bars and standard-error bars. Complements the F-3 N=5</w:t>
      </w:r>
      <w:r>
        <w:t xml:space="preserve"> </w:t>
      </w:r>
      <w:r>
        <w:t xml:space="preserve">ProdLDA/ETM swarm in the main paper Figure 4. Notable patterns:</w:t>
      </w:r>
      <w:r>
        <w:t xml:space="preserve"> </w:t>
      </w:r>
      <w:r>
        <w:t xml:space="preserve">β-VAE on Salinas-A reaches mean ARI</w:t>
      </w:r>
      <w:r>
        <w:t xml:space="preserve"> </w:t>
      </w:r>
      <m:oMath>
        <m:r>
          <m:rPr>
            <m:sty m:val="p"/>
          </m:rPr>
          <m:t>≈</m:t>
        </m:r>
        <m:r>
          <m:t>0.55</m:t>
        </m:r>
      </m:oMath>
      <w:r>
        <w:t xml:space="preserve"> </w:t>
      </w:r>
      <w:r>
        <w:t xml:space="preserve">but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across 30 seeds; CAE-3D dominates on Pavia U.</w:t>
      </w:r>
    </w:p>
    <w:bookmarkEnd w:id="45"/>
    <w:bookmarkEnd w:id="46"/>
    <w:bookmarkStart w:id="47" w:name="axis-f-12-external-baseline-deltas"/>
    <w:p>
      <w:pPr>
        <w:pStyle w:val="Heading1"/>
      </w:pPr>
      <w:r>
        <w:t xml:space="preserve">Axis F-12: external baseline deltas</w:t>
      </w:r>
    </w:p>
    <w:p>
      <w:pPr>
        <w:pStyle w:val="DefinitionTerm"/>
      </w:pPr>
      <w:r>
        <w:t xml:space="preserve">Status note (2026-05-15).</w:t>
      </w:r>
    </w:p>
    <w:p>
      <w:pPr>
        <w:pStyle w:val="Definition"/>
      </w:pPr>
      <w:r>
        <w:t xml:space="preserve">Axis F-12 is the cross-paper OA</w:t>
      </w:r>
      <w:r>
        <w:t xml:space="preserve"> </w:t>
      </w:r>
      <w:r>
        <w:t xml:space="preserve">delta against published baselines on each labelled scene. Per the</w:t>
      </w:r>
      <w:r>
        <w:t xml:space="preserve"> </w:t>
      </w:r>
      <w:r>
        <w:t xml:space="preserve">candor caveat documented in journal Suppl G §Reporting choices,</w:t>
      </w:r>
      <w:r>
        <w:t xml:space="preserve"> </w:t>
      </w:r>
      <w:r>
        <w:t xml:space="preserve">the per-paper train/test splits are not always comparable across</w:t>
      </w:r>
      <w:r>
        <w:t xml:space="preserve"> </w:t>
      </w:r>
      <w:r>
        <w:t xml:space="preserve">the literature, so a single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nor/>
                <m:sty m:val="p"/>
              </m:rPr>
              <m:t>this work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ref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scalar can be misleading.</w:t>
      </w:r>
      <w:r>
        <w:t xml:space="preserve"> </w:t>
      </w:r>
      <w:r>
        <w:rPr>
          <w:b/>
          <w:bCs/>
        </w:rPr>
        <w:t xml:space="preserve">We deliberately defer the F-12 table to a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appendix paired with the journal submission cover letter,</w:t>
      </w:r>
      <w:r>
        <w:t xml:space="preserve"> </w:t>
      </w:r>
      <w:r>
        <w:t xml:space="preserve">where</w:t>
      </w:r>
      <w:r>
        <w:t xml:space="preserve"> </w:t>
      </w:r>
      <w:r>
        <w:t xml:space="preserve">each reference’s per-paper split (train fraction, fold count,</w:t>
      </w:r>
      <w:r>
        <w:t xml:space="preserve"> </w:t>
      </w:r>
      <w:r>
        <w:t xml:space="preserve">augmentation policy) can be reported alongside the OA delta.</w:t>
      </w:r>
      <w:r>
        <w:t xml:space="preserve"> </w:t>
      </w:r>
      <w:r>
        <w:t xml:space="preserve">The deferred-table approach is preferable to populating cells with</w:t>
      </w:r>
      <w:r>
        <w:t xml:space="preserve"> </w:t>
      </w:r>
      <w:r>
        <w:t xml:space="preserve">numbers under split conditions that the reader cannot inspect, and</w:t>
      </w:r>
      <w:r>
        <w:t xml:space="preserve"> </w:t>
      </w:r>
      <w:r>
        <w:t xml:space="preserve">also gives reviewers a concrete versionable target for the</w:t>
      </w:r>
      <w:r>
        <w:t xml:space="preserve"> </w:t>
      </w:r>
      <w:r>
        <w:t xml:space="preserve">verification appendix. The framework’s F-12</w:t>
      </w:r>
      <w:r>
        <w:t xml:space="preserve"> </w:t>
      </w:r>
      <w:r>
        <w:rPr>
          <w:i/>
          <w:iCs/>
        </w:rPr>
        <w:t xml:space="preserve">definition</w:t>
      </w:r>
      <w:r>
        <w:t xml:space="preserve"> </w:t>
      </w:r>
      <w:r>
        <w:t xml:space="preserve">is</w:t>
      </w:r>
      <w:r>
        <w:t xml:space="preserve"> </w:t>
      </w:r>
      <w:r>
        <w:t xml:space="preserve">unchanged; only the per-scene table is deferred. See journal</w:t>
      </w:r>
      <w:r>
        <w:t xml:space="preserve"> </w:t>
      </w:r>
      <w:r>
        <w:t xml:space="preserve">Section </w:t>
      </w:r>
      <w:hyperlink w:anchor="subsec:b12">
        <w:r>
          <w:rPr>
            <w:rStyle w:val="Hyperlink"/>
          </w:rPr>
          <w:t xml:space="preserve">[subsec:b12]</w:t>
        </w:r>
      </w:hyperlink>
      <w:r>
        <w:t xml:space="preserve"> </w:t>
      </w:r>
      <w:r>
        <w:t xml:space="preserve">in the main paper for the F-12 axis</w:t>
      </w:r>
      <w:r>
        <w:t xml:space="preserve"> </w:t>
      </w:r>
      <w:r>
        <w:t xml:space="preserve">description (it remains part of the framework’s twelve-axis</w:t>
      </w:r>
      <w:r>
        <w:t xml:space="preserve"> </w:t>
      </w:r>
      <w:r>
        <w:t xml:space="preserve">declaration).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df" /><Relationship Type="http://schemas.openxmlformats.org/officeDocument/2006/relationships/image" Id="rId42" Target="media/rId42.pdf" /><Relationship Type="http://schemas.openxmlformats.org/officeDocument/2006/relationships/image" Id="rId26" Target="media/rId26.pdf" /><Relationship Type="http://schemas.openxmlformats.org/officeDocument/2006/relationships/image" Id="rId37" Target="media/rId37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F — Extended per-axis results Companion to: Beyond Accuracy (Section VI)</dc:title>
  <dc:creator>Felipe Santibáñez-Leal</dc:creator>
  <cp:keywords/>
  <dcterms:created xsi:type="dcterms:W3CDTF">2026-05-15T18:04:59Z</dcterms:created>
  <dcterms:modified xsi:type="dcterms:W3CDTF">2026-05-15T18:04:59Z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