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df" ContentType="application/pdf"/>
  <Override PartName="/word/media/rId23.pdf" ContentType="application/pdf"/>
  <Override PartName="/word/media/rId43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Which Backbone Picks Which Wordification? A Factorial Study of</w:t>
      </w:r>
      <w:r>
        <w:t xml:space="preserve"> </w:t>
      </w:r>
      <w:r>
        <w:t xml:space="preserve">Topic-Model Families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∼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global atom weights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nary>
          <m:naryPr>
            <m:chr m:val="∏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β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unnormalised</w:t>
      </w:r>
      <w:r>
        <w:t xml:space="preserve"> </w:t>
      </w:r>
      <w:r>
        <w:t xml:space="preserve">(the word distribution is a product of experts, not a per-topic</w:t>
      </w:r>
      <w:r>
        <w:t xml:space="preserve"> </w:t>
      </w:r>
      <w:r>
        <w:t xml:space="preserve">simplex),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Laplace approximation to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; inference is amortised,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η</m:t>
            </m:r>
          </m:sub>
        </m:sSub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ρ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d</m:t>
                      </m:r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word embeddings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and topic</w:t>
      </w:r>
      <w:r>
        <w:t xml:space="preserve"> </w:t>
      </w:r>
      <w:r>
        <w:t xml:space="preserve">embeddings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. (This is the single canonical</w:t>
      </w:r>
      <w:r>
        <w:t xml:space="preserve"> </w:t>
      </w:r>
      <w:r>
        <w:t xml:space="preserve">ETM decoder; earlier drafts wrote it three inconsistent ways.)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num>
            <m:den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⌊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t> </m:t>
              </m:r>
              <m:r>
                <m:t>Q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p>
          </m:sSubSup>
          <m:r>
            <m:rPr>
              <m:sty m:val="p"/>
            </m:rPr>
            <m:t>[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t> 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lim>
          </m:limLow>
          <m:r>
            <m:t> </m:t>
          </m:r>
          <m:sSubSup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r>
                    <m:t>a</m:t>
                  </m:r>
                </m:e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8</m:t>
              </m:r>
            </m:sup>
          </m:sSubSup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r>
                <m:t>s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m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are the NFINDR endmembers (simplex vertices)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 fixed integer scale;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20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token alphabet is V3’s,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B</m:t>
        </m:r>
        <m:r>
          <m:t> </m:t>
        </m:r>
        <m:r>
          <m:t>Q</m:t>
        </m:r>
      </m:oMath>
      <w:r>
        <w:t xml:space="preserve"> </w:t>
      </w:r>
      <w:r>
        <w:t xml:space="preserve">(=1600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; mean</w:t>
      </w:r>
      <w:r>
        <w:t xml:space="preserve"> </w:t>
      </w:r>
      <m:oMath>
        <m:r>
          <m:rPr>
            <m:sty m:val="p"/>
          </m:rPr>
          <m:t>≈</m:t>
        </m:r>
        <m:r>
          <m:t>1376</m:t>
        </m:r>
      </m:oMath>
      <w:r>
        <w:t xml:space="preserve"> </w:t>
      </w:r>
      <w:r>
        <w:t xml:space="preserve">across the six labelled scenes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varies). Bands with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emit nothing, so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(non-empty-column) vocabulary is smaller still (</w:t>
      </w:r>
      <m:oMath>
        <m:r>
          <m:rPr>
            <m:sty m:val="p"/>
          </m:rPr>
          <m:t>≈</m:t>
        </m:r>
        <m:r>
          <m:t>770</m:t>
        </m:r>
      </m:oMath>
      <w:r>
        <w:t xml:space="preserve"> </w:t>
      </w:r>
      <w:r>
        <w:t xml:space="preserve">mean).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)</m:t>
            </m:r>
          </m:e>
          <m:sub>
            <m:r>
              <m:t>ℓ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over the</w:t>
      </w:r>
      <w:r>
        <w:t xml:space="preserve"> </w:t>
      </w:r>
      <w:r>
        <w:t xml:space="preserve">top-</w:t>
      </w:r>
      <m:oMath>
        <m:r>
          <m:t>N</m:t>
        </m:r>
      </m:oMath>
      <w:r>
        <w:t xml:space="preserve"> </w:t>
      </w:r>
      <w:r>
        <w:t xml:space="preserve">topic words.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7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top-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18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S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fraktur"/>
                      <m:sty m:val="p"/>
                    </m:rPr>
                    <m:t>S</m:t>
                  </m:r>
                </m:e>
                <m:sub>
                  <m:r>
                    <m:t>K</m:t>
                  </m:r>
                </m:sub>
              </m:sSub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reseeded refits, with</w:t>
      </w:r>
      <w:r>
        <w:t xml:space="preserve"> </w:t>
      </w:r>
      <m:oMath>
        <m:sSubSup>
          <m:e>
            <m:r>
              <m:rPr>
                <m:sty m:val="bi"/>
              </m:rPr>
              <m:t>u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the top-</w:t>
      </w:r>
      <m:oMath>
        <m:r>
          <m:t>N</m:t>
        </m:r>
      </m:oMath>
      <w:r>
        <w:t xml:space="preserve"> </w:t>
      </w:r>
      <w:r>
        <w:t xml:space="preserve">indicator</w:t>
      </w:r>
      <w:r>
        <w:t xml:space="preserve"> </w:t>
      </w:r>
      <w:r>
        <w:t xml:space="preserve">vector of 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run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22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δ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V</m:t>
                  </m:r>
                  <m:r>
                    <m:rPr>
                      <m:sty m:val="p"/>
                    </m:rPr>
                    <m:t>|</m:t>
                  </m:r>
                </m:sup>
              </m:sSup>
            </m:lim>
          </m:limLow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δ</m:t>
                  </m:r>
                </m:e>
              </m:d>
            </m:e>
            <m:sub>
              <m:r>
                <m:t>1</m:t>
              </m:r>
            </m:sub>
          </m:sSub>
          <m:r>
            <m:t> </m:t>
          </m:r>
          <m:r>
            <m:t> </m:t>
          </m:r>
          <m:r>
            <m:rPr>
              <m:nor/>
              <m:sty m:val="p"/>
            </m:rPr>
            <m:t>s.t.</m:t>
          </m:r>
          <m:r>
            <m:t> 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≠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 </m:t>
          </m:r>
          <m:r>
            <m:t> 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reported as the per-scene median, capped at a sentinel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when no flip is found.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≥</m:t>
              </m:r>
              <m:r>
                <m:t>τ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15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D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(mass concentrated on few tokens) keeps top-</w:t>
      </w:r>
      <m:oMath>
        <m:r>
          <m:t>N</m:t>
        </m:r>
      </m:oMath>
      <w:r>
        <w:t xml:space="preserve"> </w:t>
      </w:r>
      <w:r>
        <w:t xml:space="preserve">overlap high; this — not nominal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— is what drives F-15.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averaged over backbones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when a recipe sits near the per-backbone top everywhere.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first two manuscripts in this programme (P1, P3) hold the topic</w:t>
      </w:r>
      <w:r>
        <w:t xml:space="preserve"> </w:t>
      </w:r>
      <w:r>
        <w:t xml:space="preserve">model backbone fixed (online-VB LDA) while varying the</w:t>
      </w:r>
      <w:r>
        <w:t xml:space="preserve"> </w:t>
      </w:r>
      <w:r>
        <w:rPr>
          <w:i/>
          <w:iCs/>
        </w:rPr>
        <w:t xml:space="preserve">wordification recipe</w:t>
      </w:r>
      <w:r>
        <w:t xml:space="preserve"> </w:t>
      </w:r>
      <w:r>
        <w:t xml:space="preserve">that converts a pixel spectrum into a</w:t>
      </w:r>
      <w:r>
        <w:t xml:space="preserve"> </w:t>
      </w:r>
      <w:r>
        <w:t xml:space="preserve">multiset of LDA-consumable tokens. P3 shows that the recipe matters</w:t>
      </w:r>
      <w:r>
        <w:t xml:space="preserve"> </w:t>
      </w:r>
      <w:r>
        <w:t xml:space="preserve">on every F-axis of the twelve-axis evaluation framework introduced</w:t>
      </w:r>
      <w:r>
        <w:t xml:space="preserve"> </w:t>
      </w:r>
      <w:r>
        <w:t xml:space="preserve">in P1, with a single recipe (V12, Gaussian-mixture-component tokens)</w:t>
      </w:r>
      <w:r>
        <w:t xml:space="preserve"> </w:t>
      </w:r>
      <w:r>
        <w:t xml:space="preserve">winning four of six F-axes under LDA.</w:t>
      </w:r>
    </w:p>
    <w:p>
      <w:pPr>
        <w:pStyle w:val="BodyText"/>
      </w:pPr>
      <w:r>
        <w:t xml:space="preserve">This paper inverts the question. We hold the recipe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{V1, …, V20} constant and vary the backbone across four</w:t>
      </w:r>
      <w:r>
        <w:t xml:space="preserve"> </w:t>
      </w:r>
      <w:r>
        <w:t xml:space="preserve">topic-model families: LDA (baseline carried over from P3),</w:t>
      </w:r>
      <w:r>
        <w:t xml:space="preserve"> </w:t>
      </w:r>
      <w:r>
        <w:t xml:space="preserve">Hierarchical Dirichlet Process (HDP, Teh et al. 2006), Product LDA</w:t>
      </w:r>
      <w:r>
        <w:t xml:space="preserve"> </w:t>
      </w:r>
      <w:r>
        <w:t xml:space="preserve">(ProdLDA, Srivastava &amp; Sutton 2017), and the Embedded Topic Model</w:t>
      </w:r>
      <w:r>
        <w:t xml:space="preserve"> </w:t>
      </w:r>
      <w:r>
        <w:t xml:space="preserve">(ETM, Dieng et al. 2020). All four share the basic generative</w:t>
      </w:r>
      <w:r>
        <w:t xml:space="preserve"> </w:t>
      </w:r>
      <w:r>
        <w:t xml:space="preserve">structure — topics are distributions over a discrete vocabulary,</w:t>
      </w:r>
      <w:r>
        <w:t xml:space="preserve"> </w:t>
      </w:r>
      <w:r>
        <w:t xml:space="preserve">documents are mixtures of topics — but each carries a different</w:t>
      </w:r>
      <w:r>
        <w:t xml:space="preserve"> </w:t>
      </w:r>
      <w:r>
        <w:t xml:space="preserve">prior over the topic simplex, a different inference procedure, and</w:t>
      </w:r>
      <w:r>
        <w:t xml:space="preserve"> </w:t>
      </w:r>
      <w:r>
        <w:t xml:space="preserve">in ETM’s case a different way of parameterising the topic–word</w:t>
      </w:r>
      <w:r>
        <w:t xml:space="preserve"> </w:t>
      </w:r>
      <w:r>
        <w:t xml:space="preserve">distribution as a softmax of embedding dot products.</w:t>
      </w:r>
    </w:p>
    <w:bookmarkStart w:id="14" w:name="subsec:headline"/>
    <w:p>
      <w:pPr>
        <w:pStyle w:val="Heading2"/>
      </w:pPr>
      <w:r>
        <w:t xml:space="preserve">The headline finding</w:t>
      </w:r>
    </w:p>
    <w:p>
      <w:pPr>
        <w:pStyle w:val="FirstParagraph"/>
      </w:pPr>
      <w:r>
        <w:t xml:space="preserve">The wordification ranking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invariant under the backbone</w:t>
      </w:r>
      <w:r>
        <w:t xml:space="preserve"> </w:t>
      </w:r>
      <w:r>
        <w:t xml:space="preserve">choice. Table </w:t>
      </w:r>
      <w:hyperlink w:anchor="tab:headli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per-backbone F-2</w:t>
      </w:r>
      <w:r>
        <w:t xml:space="preserve"> </w:t>
      </w:r>
      <w:r>
        <w:t xml:space="preserve">coherence winner across the six labelled-scene panel. LDA and ETM agree</w:t>
      </w:r>
      <w:r>
        <w:t xml:space="preserve"> </w:t>
      </w:r>
      <w:r>
        <w:t xml:space="preserve">on V12; HDP picks V7; ProdLDA picks V3. Three of four backbones</w:t>
      </w:r>
      <w:r>
        <w:t xml:space="preserve"> </w:t>
      </w:r>
      <w:r>
        <w:t xml:space="preserve">disagree on the single best recipe.</w:t>
      </w:r>
    </w:p>
    <w:bookmarkStart w:id="13" w:name="tab:headline"/>
    <w:p>
      <w:pPr>
        <w:pStyle w:val="TableCaption"/>
      </w:pPr>
      <w:r>
        <w:t xml:space="preserve">Per-backbone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winner on the six labelled-scene panel</w:t>
      </w:r>
      <w:r>
        <w:t xml:space="preserve"> </w:t>
      </w:r>
      <w:r>
        <w:t xml:space="preserve">(uniform /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mean across scenes).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backbone F-2 c_v winner on the six labelled-scene panel (uniform / Q=8, mean across scene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 (absorption triplet)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(joint band–bin)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</w:tr>
    </w:tbl>
    <w:bookmarkEnd w:id="13"/>
    <w:p>
      <w:pPr>
        <w:pStyle w:val="BodyText"/>
      </w:pPr>
      <w:r>
        <w:t xml:space="preserve">This is the formal version of the observation that the wordification</w:t>
      </w:r>
      <w:r>
        <w:t xml:space="preserve"> </w:t>
      </w:r>
      <w:r>
        <w:t xml:space="preserve">choice and the backbone choice cannot be made independently. P3’s</w:t>
      </w:r>
      <w:r>
        <w:t xml:space="preserve"> </w:t>
      </w:r>
      <w:r>
        <w:t xml:space="preserve">recommendation that V1 retain canonical-default status assumed an LDA</w:t>
      </w:r>
      <w:r>
        <w:t xml:space="preserve"> </w:t>
      </w:r>
      <w:r>
        <w:t xml:space="preserve">backbone; the present manuscript shows that switching backbone changes</w:t>
      </w:r>
      <w:r>
        <w:t xml:space="preserve"> </w:t>
      </w:r>
      <w:r>
        <w:t xml:space="preserve">the practical canonical too.</w:t>
      </w:r>
    </w:p>
    <w:bookmarkEnd w:id="14"/>
    <w:bookmarkStart w:id="15" w:name="subsec: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19</m:t>
        </m:r>
      </m:oMath>
      <w:r>
        <w:t xml:space="preserve"> </w:t>
      </w:r>
      <w:r>
        <w:t xml:space="preserve">factorial sweep over four topic-model</w:t>
      </w:r>
      <w:r>
        <w:t xml:space="preserve"> </w:t>
      </w:r>
      <w:r>
        <w:t xml:space="preserve">backbones (LDA, HDP, ProdLDA, ETM) and nineteen wordification</w:t>
      </w:r>
      <w:r>
        <w:t xml:space="preserve"> </w:t>
      </w:r>
      <w:r>
        <w:t xml:space="preserve">recipes (V1–V20; V16 scaffolded only) on six labelled HSI scenes.</w:t>
      </w:r>
      <w:r>
        <w:t xml:space="preserve"> </w:t>
      </w:r>
      <w:r>
        <w:t xml:space="preserve">456 F-2 cells, 456 F-14 cells.</w:t>
      </w:r>
    </w:p>
    <w:p>
      <w:pPr>
        <w:numPr>
          <w:ilvl w:val="0"/>
          <w:numId w:val="1001"/>
        </w:numPr>
      </w:pPr>
      <w:r>
        <w:t xml:space="preserve">Identification of three robust backbone–recipe affinities:</w:t>
      </w:r>
      <w:r>
        <w:t xml:space="preserve"> </w:t>
      </w:r>
      <w:r>
        <w:t xml:space="preserve">Dirichlet-prior backbones favour dense-vocabulary recipes (V12,</w:t>
      </w:r>
      <w:r>
        <w:t xml:space="preserve"> </w:t>
      </w:r>
      <w:r>
        <w:t xml:space="preserve">V3); truncation-prior backbones favour sparse-event recipes (V7);</w:t>
      </w:r>
      <w:r>
        <w:t xml:space="preserve"> </w:t>
      </w:r>
      <w:r>
        <w:t xml:space="preserve">logistic-normal backbones favour large-vocabulary recipes (V3).</w:t>
      </w:r>
    </w:p>
    <w:p>
      <w:pPr>
        <w:numPr>
          <w:ilvl w:val="0"/>
          <w:numId w:val="1001"/>
        </w:numPr>
      </w:pPr>
      <w:r>
        <w:t xml:space="preserve">A per-recipe</w:t>
      </w:r>
      <w:r>
        <w:t xml:space="preserve"> </w:t>
      </w:r>
      <w:r>
        <w:rPr>
          <w:i/>
          <w:iCs/>
        </w:rPr>
        <w:t xml:space="preserve">affinity score</w:t>
      </w:r>
      <w:r>
        <w:t xml:space="preserve"> 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measures how a recipe transfers across the four backbones,</w:t>
      </w:r>
      <w:r>
        <w:t xml:space="preserve"> </w:t>
      </w:r>
      <w:r>
        <w:t xml:space="preserve">identifying V12 / V20 (tied at the top of the coherence affinity</w:t>
      </w:r>
      <w:r>
        <w:t xml:space="preserve"> </w:t>
      </w:r>
      <w:r>
        <w:t xml:space="preserve">ranking) and V13 (consistently at the per-backbone minimum) as the</w:t>
      </w:r>
      <w:r>
        <w:t xml:space="preserve"> </w:t>
      </w:r>
      <w:r>
        <w:t xml:space="preserve">extremes.</w:t>
      </w:r>
    </w:p>
    <w:p>
      <w:pPr>
        <w:numPr>
          <w:ilvl w:val="0"/>
          <w:numId w:val="1001"/>
        </w:numPr>
      </w:pPr>
      <w:r>
        <w:t xml:space="preserve">A revised practical recommendation: the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a single</w:t>
      </w:r>
      <w:r>
        <w:t xml:space="preserve"> </w:t>
      </w:r>
      <w:r>
        <w:t xml:space="preserve">hyper-decision and should be reported jointly.</w:t>
      </w:r>
    </w:p>
    <w:bookmarkEnd w:id="15"/>
    <w:bookmarkEnd w:id="16"/>
    <w:bookmarkStart w:id="21" w:name="sec:backbones"/>
    <w:p>
      <w:pPr>
        <w:pStyle w:val="Heading1"/>
      </w:pPr>
      <w:r>
        <w:t xml:space="preserve">The four backbones</w:t>
      </w:r>
    </w:p>
    <w:p>
      <w:pPr>
        <w:pStyle w:val="FirstParagraph"/>
      </w:pPr>
      <w:r>
        <w:t xml:space="preserve">All four backbones are formally defined by the canonical equation set</w:t>
      </w:r>
      <w:r>
        <w:t xml:space="preserve"> </w:t>
      </w:r>
      <w:r>
        <w:t xml:space="preserve">shared across the manuscript series: LDA by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, HDP by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, ProdLDA by</w:t>
      </w:r>
      <w:r>
        <w:t xml:space="preserve"> 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, and ETM by</w:t>
      </w:r>
      <w:r>
        <w:t xml:space="preserve"> 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. The</w:t>
      </w:r>
      <w:r>
        <w:t xml:space="preserve"> </w:t>
      </w:r>
      <w:r>
        <w:t xml:space="preserve">prose below records only the hyperparameters and implementation that</w:t>
      </w:r>
      <w:r>
        <w:t xml:space="preserve"> </w:t>
      </w:r>
      <w:r>
        <w:t xml:space="preserve">specialise each generic backbone to this study.</w:t>
      </w:r>
    </w:p>
    <w:bookmarkStart w:id="17" w:name="online-vb-lda-p1-p3"/>
    <w:p>
      <w:pPr>
        <w:pStyle w:val="Heading2"/>
      </w:pPr>
      <w:r>
        <w:t xml:space="preserve">Online-VB LDA (P1, P3)</w:t>
      </w:r>
    </w:p>
    <w:p>
      <w:pPr>
        <w:pStyle w:val="FirstParagraph"/>
      </w:pPr>
      <w:r>
        <w:t xml:space="preserve">The canonical fixed-K LDA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 </w:t>
      </w:r>
      <w:r>
        <w:t xml:space="preserve">with online variational</w:t>
      </w:r>
      <w:r>
        <w:t xml:space="preserve"> </w:t>
      </w:r>
      <w:r>
        <w:t xml:space="preserve">Bayes inference</w:t>
      </w:r>
      <w:r>
        <w:t xml:space="preserve"> </w:t>
      </w:r>
      <w:r>
        <w:t xml:space="preserve">(Hoffman et al. 2010)</w:t>
      </w:r>
      <w:r>
        <w:t xml:space="preserve">. Symmetric Dirichlet priors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on topic mixtures and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on topic-word distributions.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chosen by the same policy as P3: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⌊</m:t>
        </m:r>
        <m:bar>
          <m:barPr>
            <m:pos m:val="top"/>
          </m:barPr>
          <m:e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</m:ba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Implementation:</w:t>
      </w:r>
      <w:r>
        <w:t xml:space="preserve"> </w:t>
      </w:r>
      <w:r>
        <w:rPr>
          <w:rStyle w:val="VerbatimChar"/>
        </w:rPr>
        <w:t xml:space="preserve">sklearn.LatentDirichletAllocation</w:t>
      </w:r>
      <w:r>
        <w:t xml:space="preserve">, random seed 42.</w:t>
      </w:r>
    </w:p>
    <w:bookmarkEnd w:id="17"/>
    <w:bookmarkStart w:id="18" w:name="hierarchical-dirichlet-process-hdp"/>
    <w:p>
      <w:pPr>
        <w:pStyle w:val="Heading2"/>
      </w:pPr>
      <w:r>
        <w:t xml:space="preserve">Hierarchical Dirichlet Process (HDP)</w:t>
      </w:r>
    </w:p>
    <w:p>
      <w:pPr>
        <w:pStyle w:val="FirstParagraph"/>
      </w:pPr>
      <w:r>
        <w:t xml:space="preserve">Bayesian nonparametric topic model with two-level stick breaking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 </w:t>
      </w:r>
      <w:r>
        <w:t xml:space="preserve">(Teh et al. 2006)</w:t>
      </w:r>
      <w:r>
        <w:t xml:space="preserve">. We use gensim’s</w:t>
      </w:r>
      <w:r>
        <w:t xml:space="preserve"> </w:t>
      </w:r>
      <w:r>
        <w:rPr>
          <w:rStyle w:val="VerbatimChar"/>
        </w:rPr>
        <w:t xml:space="preserve">HdpModel</w:t>
      </w:r>
      <w:r>
        <w:t xml:space="preserve"> </w:t>
      </w:r>
      <w:r>
        <w:t xml:space="preserve">with truncation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at the corpus level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 the document level. Random</w:t>
      </w:r>
      <w:r>
        <w:t xml:space="preserve"> </w:t>
      </w:r>
      <w:r>
        <w:t xml:space="preserve">seed 42. The number of effective topics is data-driven; the topic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(the strength of each topic’s prior weight) is part of</w:t>
      </w:r>
      <w:r>
        <w:t xml:space="preserve"> </w:t>
      </w:r>
      <w:r>
        <w:t xml:space="preserve">the inference output.</w:t>
      </w:r>
    </w:p>
    <w:bookmarkEnd w:id="18"/>
    <w:bookmarkStart w:id="19" w:name="product-lda-prodlda"/>
    <w:p>
      <w:pPr>
        <w:pStyle w:val="Heading2"/>
      </w:pPr>
      <w:r>
        <w:t xml:space="preserve">Product LDA (ProdLDA)</w:t>
      </w:r>
    </w:p>
    <w:p>
      <w:pPr>
        <w:pStyle w:val="FirstParagraph"/>
      </w:pPr>
      <w:r>
        <w:t xml:space="preserve">Logistic-normal variational topic model with a product-of-experts</w:t>
      </w:r>
      <w:r>
        <w:t xml:space="preserve"> </w:t>
      </w:r>
      <w:r>
        <w:t xml:space="preserve">likelihood</w:t>
      </w:r>
      <w:r>
        <w:t xml:space="preserve"> 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 </w:t>
      </w:r>
      <w:r>
        <w:t xml:space="preserve">(Srivastava and Sutton 2017)</w:t>
      </w:r>
      <w:r>
        <w:t xml:space="preserve">.</w:t>
      </w:r>
      <w:r>
        <w:t xml:space="preserve"> </w:t>
      </w:r>
      <w:r>
        <w:t xml:space="preserve">Laplace-approximated Dirichlet prior on the latent</w:t>
      </w:r>
      <w:r>
        <w:t xml:space="preserve"> </w:t>
      </w:r>
      <m:oMath>
        <m:sSub>
          <m:e>
            <m:r>
              <m:t>δ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two-layer MLP encoder, Pyro implementation. 80 epochs, batch 128,</w:t>
      </w:r>
      <w:r>
        <w:t xml:space="preserve"> </w:t>
      </w:r>
      <w:r>
        <w:t xml:space="preserve">learning rate</w:t>
      </w:r>
      <w:r>
        <w:t xml:space="preserve"> </w:t>
      </w:r>
      <m:oMath>
        <m:r>
          <m:t>1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t>3</m:t>
        </m:r>
      </m:oMath>
      <w:r>
        <w:t xml:space="preserve">, random seed 42.</w:t>
      </w:r>
    </w:p>
    <w:bookmarkEnd w:id="19"/>
    <w:bookmarkStart w:id="20" w:name="embedded-topic-model-etm"/>
    <w:p>
      <w:pPr>
        <w:pStyle w:val="Heading2"/>
      </w:pPr>
      <w:r>
        <w:t xml:space="preserve">Embedded Topic Model (ETM)</w:t>
      </w:r>
    </w:p>
    <w:p>
      <w:pPr>
        <w:pStyle w:val="FirstParagraph"/>
      </w:pPr>
      <w:r>
        <w:t xml:space="preserve">Joint word–topic embedding model</w:t>
      </w:r>
      <w:r>
        <w:t xml:space="preserve"> </w:t>
      </w:r>
      <w:r>
        <w:t xml:space="preserve">(Dieng et al. 2020)</w:t>
      </w:r>
      <w:r>
        <w:t xml:space="preserve">. The</w:t>
      </w:r>
      <w:r>
        <w:t xml:space="preserve"> </w:t>
      </w:r>
      <w:r>
        <w:t xml:space="preserve">topic–word distribution is the canonical embedded decoder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sSup>
          <m:e>
            <m:r>
              <m:t>ρ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, with word-embedding matrix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(</w:t>
      </w:r>
      <m:oMath>
        <m:r>
          <m:t>L</m:t>
        </m:r>
        <m:r>
          <m:rPr>
            <m:sty m:val="p"/>
          </m:rPr>
          <m:t>=</m:t>
        </m:r>
        <m:r>
          <m:t>64</m:t>
        </m:r>
      </m:oMath>
      <w:r>
        <w:t xml:space="preserve">) and per-topic embedding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. Same 80-epoch / batch-128 / seed-42</w:t>
      </w:r>
      <w:r>
        <w:t xml:space="preserve"> </w:t>
      </w:r>
      <w:r>
        <w:t xml:space="preserve">protocol.</w:t>
      </w:r>
    </w:p>
    <w:bookmarkEnd w:id="20"/>
    <w:bookmarkEnd w:id="21"/>
    <w:bookmarkStart w:id="22" w:name="sec:method"/>
    <w:p>
      <w:pPr>
        <w:pStyle w:val="Heading1"/>
      </w:pPr>
      <w:r>
        <w:t xml:space="preserve">Method: factorial design</w:t>
      </w:r>
    </w:p>
    <w:p>
      <w:pPr>
        <w:pStyle w:val="FirstParagraph"/>
      </w:pPr>
      <w:r>
        <w:t xml:space="preserve">The factorial design is fully crossed: for each pair (backbone, recipe)</w:t>
      </w:r>
      <w:r>
        <w:t xml:space="preserve"> </w:t>
      </w:r>
      <w:r>
        <w:t xml:space="preserve">we use</w:t>
      </w:r>
      <w:r>
        <w:t xml:space="preserve"> </w:t>
      </w:r>
      <w:r>
        <w:rPr>
          <w:i/>
          <w:iCs/>
        </w:rPr>
        <w:t xml:space="preserve">the same</w:t>
      </w:r>
      <w:r>
        <w:t xml:space="preserve"> </w:t>
      </w:r>
      <w:r>
        <w:t xml:space="preserve">pre-computed doc-term matrix as in P3 (so the</w:t>
      </w:r>
      <w:r>
        <w:t xml:space="preserve"> </w:t>
      </w:r>
      <w:r>
        <w:t xml:space="preserve">wordification stage is identical across backbones) and refit the</w:t>
      </w:r>
      <w:r>
        <w:t xml:space="preserve"> </w:t>
      </w:r>
      <w:r>
        <w:t xml:space="preserve">backbone from scratch. For each cell we report:</w:t>
      </w:r>
    </w:p>
    <w:p>
      <w:pPr>
        <w:numPr>
          <w:ilvl w:val="0"/>
          <w:numId w:val="1002"/>
        </w:numPr>
      </w:pP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</w:t>
      </w:r>
      <w:r>
        <w:t xml:space="preserve"> 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 </w:t>
      </w:r>
      <w:r>
        <w:t xml:space="preserve">on the top-10 words per topic,</w:t>
      </w:r>
      <w:r>
        <w:t xml:space="preserve"> </w:t>
      </w:r>
      <w:r>
        <w:t xml:space="preserve">using the same KSG-style sliding-window-NPMI estimator as P1.</w:t>
      </w:r>
    </w:p>
    <w:p>
      <w:pPr>
        <w:numPr>
          <w:ilvl w:val="0"/>
          <w:numId w:val="1002"/>
        </w:numPr>
      </w:pPr>
      <w:r>
        <w:t xml:space="preserve">F-14 mean off-diagonal top-10 jaccard between topics</w:t>
      </w:r>
      <w:r>
        <w:t xml:space="preserve"> </w:t>
      </w:r>
      <w:hyperlink w:anchor="eq:f14">
        <w:r>
          <w:rPr>
            <w:rStyle w:val="Hyperlink"/>
          </w:rPr>
          <w:t xml:space="preserve">[eq:f14]</w:t>
        </w:r>
      </w:hyperlink>
      <w:r>
        <w:t xml:space="preserve"> </w:t>
      </w:r>
      <w:r>
        <w:t xml:space="preserve">(lower = more diverse).</w:t>
      </w:r>
    </w:p>
    <w:p>
      <w:pPr>
        <w:pStyle w:val="FirstParagraph"/>
      </w:pPr>
      <w:r>
        <w:t xml:space="preserve">All recipes share the per-row min–max normalisation and uniform</w:t>
      </w:r>
      <w:r>
        <w:t xml:space="preserve"> </w:t>
      </w:r>
      <w:r>
        <w:t xml:space="preserve">quantiser of</w:t>
      </w:r>
      <w:r>
        <w:t xml:space="preserve"> 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; the four recipes that dominate the</w:t>
      </w:r>
      <w:r>
        <w:t xml:space="preserve"> </w:t>
      </w:r>
      <w:r>
        <w:t xml:space="preserve">factorial are V1 (band-frequency,</w:t>
      </w:r>
      <w:r>
        <w:t xml:space="preserve"> </w:t>
      </w:r>
      <w:hyperlink w:anchor="eq:v1">
        <w:r>
          <w:rPr>
            <w:rStyle w:val="Hyperlink"/>
          </w:rPr>
          <w:t xml:space="preserve">[eq:v1]</w:t>
        </w:r>
      </w:hyperlink>
      <w:r>
        <w:t xml:space="preserve">), V3 (joint band–bin,</w:t>
      </w:r>
      <w:r>
        <w:t xml:space="preserve"> </w:t>
      </w:r>
      <w:hyperlink w:anchor="eq:v3">
        <w:r>
          <w:rPr>
            <w:rStyle w:val="Hyperlink"/>
          </w:rPr>
          <w:t xml:space="preserve">[eq:v3]</w:t>
        </w:r>
      </w:hyperlink>
      <w:r>
        <w:t xml:space="preserve">), V8 (NFINDR endmember-fraction,</w:t>
      </w:r>
      <w:r>
        <w:t xml:space="preserve"> </w:t>
      </w:r>
      <w:hyperlink w:anchor="eq:v8">
        <w:r>
          <w:rPr>
            <w:rStyle w:val="Hyperlink"/>
          </w:rPr>
          <w:t xml:space="preserve">[eq:v8]</w:t>
        </w:r>
      </w:hyperlink>
      <w:r>
        <w:t xml:space="preserve">), V12</w:t>
      </w:r>
      <w:r>
        <w:t xml:space="preserve"> </w:t>
      </w:r>
      <w:r>
        <w:t xml:space="preserve">(GMM-token,</w:t>
      </w:r>
      <w:r>
        <w:t xml:space="preserve"> </w:t>
      </w:r>
      <w:hyperlink w:anchor="eq:v12">
        <w:r>
          <w:rPr>
            <w:rStyle w:val="Hyperlink"/>
          </w:rPr>
          <w:t xml:space="preserve">[eq:v12]</w:t>
        </w:r>
      </w:hyperlink>
      <w:r>
        <w:t xml:space="preserve">) and V20 (MI-weighted bands,</w:t>
      </w:r>
      <w:r>
        <w:t xml:space="preserve"> 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).</w:t>
      </w:r>
    </w:p>
    <w:p>
      <w:pPr>
        <w:pStyle w:val="BodyText"/>
      </w:pPr>
      <w:r>
        <w:t xml:space="preserve">F-7 NMI was added under each non-LDA backbone in the c432–c437</w:t>
      </w:r>
      <w:r>
        <w:t xml:space="preserve"> </w:t>
      </w:r>
      <w:r>
        <w:t xml:space="preserve">extension (see §</w:t>
      </w:r>
      <w:hyperlink w:anchor="subsec:f7-backbone">
        <w:r>
          <w:rPr>
            <w:rStyle w:val="Hyperlink"/>
          </w:rPr>
          <w:t xml:space="preserve">4.3</w:t>
        </w:r>
      </w:hyperlink>
      <w:r>
        <w:t xml:space="preserve">); F-1 classification,</w:t>
      </w:r>
      <w:r>
        <w:t xml:space="preserve"> </w:t>
      </w:r>
      <w:r>
        <w:t xml:space="preserve">F-22 counterfactual and F-18 reliability are run for the LDA backbone</w:t>
      </w:r>
      <w:r>
        <w:t xml:space="preserve"> </w:t>
      </w:r>
      <w:r>
        <w:t xml:space="preserve">only (carried over from P3) because they would require running a</w:t>
      </w:r>
      <w:r>
        <w:t xml:space="preserve"> </w:t>
      </w:r>
      <w:r>
        <w:t xml:space="preserve">separate downstream classifier pipeline per backbone, which is</w:t>
      </w:r>
      <w:r>
        <w:t xml:space="preserve"> </w:t>
      </w:r>
      <w:r>
        <w:t xml:space="preserve">deferred.</w:t>
      </w:r>
    </w:p>
    <w:bookmarkEnd w:id="22"/>
    <w:bookmarkStart w:id="49" w:name="sec:results"/>
    <w:p>
      <w:pPr>
        <w:pStyle w:val="Heading1"/>
      </w:pPr>
      <w:r>
        <w:t xml:space="preserve">Results</w:t>
      </w:r>
    </w:p>
    <w:bookmarkStart w:id="27" w:name="f-2-c_v-factorial"/>
    <w:p>
      <w:pPr>
        <w:pStyle w:val="Heading2"/>
      </w:pP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factorial</w:t>
      </w:r>
    </w:p>
    <w:p>
      <w:pPr>
        <w:pStyle w:val="FirstParagraph"/>
      </w:pPr>
      <w:r>
        <w:t xml:space="preserve">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 </w:t>
      </w:r>
      <w:r>
        <w:t xml:space="preserve">reports the mean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across the six</w:t>
      </w:r>
      <w:r>
        <w:t xml:space="preserve"> </w:t>
      </w:r>
      <w:r>
        <w:t xml:space="preserve">labelled scenes for every (backbone, recipe) pair.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</w:tbl>
    <w:p>
      <w:pPr>
        <w:pStyle w:val="BodyText"/>
      </w:pPr>
      <w:r>
        <w:t xml:space="preserve">The c423 sweep refresh completes the missing cells of the previous</w:t>
      </w:r>
      <w:r>
        <w:t xml:space="preserve"> </w:t>
      </w:r>
      <w:r>
        <w:t xml:space="preserve">revision (HDP V13/V15/V17/V19; ProdLDA V15/V17/V19; ETM V15/V17/V19).</w:t>
      </w:r>
      <w:r>
        <w:t xml:space="preserve"> </w:t>
      </w:r>
      <w:r>
        <w:t xml:space="preserve">V20 (mutual-information-weighted bands) is one of the top-3 recipes</w:t>
      </w:r>
      <w:r>
        <w:t xml:space="preserve"> </w:t>
      </w:r>
      <w:r>
        <w:t xml:space="preserve">in every backbone except HDP (where the stick-breaking prior favours</w:t>
      </w:r>
      <w:r>
        <w:t xml:space="preserve"> </w:t>
      </w:r>
      <w:r>
        <w:t xml:space="preserve">sparse-event recipes — V7 for absorption triplets, V17 for sparse-</w:t>
      </w:r>
      <w:r>
        <w:t xml:space="preserve"> </w:t>
      </w:r>
      <w:r>
        <w:t xml:space="preserve">coding dictionary atoms, V15 for spectral indices). Under LDA / ETM</w:t>
      </w:r>
      <w:r>
        <w:t xml:space="preserve"> </w:t>
      </w:r>
      <w:r>
        <w:t xml:space="preserve">V12 wins; under ProdLDA V3 wins; V20 trails the per-backbone winner</w:t>
      </w:r>
      <w:r>
        <w:t xml:space="preserve"> </w:t>
      </w:r>
      <w:r>
        <w:t xml:space="preserve">by 0.05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average. The cross-backbone affinity ranking below</w:t>
      </w:r>
      <w:r>
        <w:t xml:space="preserve"> </w:t>
      </w:r>
      <w:r>
        <w:t xml:space="preserve">quantifies this.</w:t>
      </w:r>
    </w:p>
    <w:bookmarkStart w:id="26" w:name="fig:backbone-factorial"/>
    <w:p>
      <w:pPr>
        <w:pStyle w:val="CaptionedFigure"/>
      </w:pPr>
      <w:r>
        <w:drawing>
          <wp:inline>
            <wp:extent cx="5334000" cy="20165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4-backbone-factorial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6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across the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backbone factorial. Each</w:t>
      </w:r>
      <w:r>
        <w:t xml:space="preserve"> </w:t>
      </w:r>
      <w:r>
        <w:t xml:space="preserve">panel is one backbone; recipes are sorted by that backbone’s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per-backbone winner (bold cell in 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)</w:t>
      </w:r>
      <w:r>
        <w:t xml:space="preserve"> </w:t>
      </w:r>
      <w:r>
        <w:t xml:space="preserve">moves between recipes — V12 for LDA / ETM, V3 for ProdLDA, V7 for</w:t>
      </w:r>
      <w:r>
        <w:t xml:space="preserve"> </w:t>
      </w:r>
      <w:r>
        <w:t xml:space="preserve">HDP — making the recipe ranking backbone-dependent.</w:t>
      </w:r>
    </w:p>
    <w:bookmarkEnd w:id="26"/>
    <w:bookmarkEnd w:id="27"/>
    <w:bookmarkStart w:id="33" w:name="per-recipe-affinity-score"/>
    <w:p>
      <w:pPr>
        <w:pStyle w:val="Heading2"/>
      </w:pPr>
      <w:r>
        <w:t xml:space="preserve">Per-recipe affinity score</w:t>
      </w:r>
    </w:p>
    <w:p>
      <w:pPr>
        <w:pStyle w:val="FirstParagraph"/>
      </w:pPr>
      <w:r>
        <w:t xml:space="preserve">We define a recipe’s</w:t>
      </w:r>
      <w:r>
        <w:t xml:space="preserve"> </w:t>
      </w:r>
      <w:r>
        <w:rPr>
          <w:i/>
          <w:iCs/>
        </w:rPr>
        <w:t xml:space="preserve">cross-backbone affinity score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: the average, over the four</w:t>
      </w:r>
      <w:r>
        <w:t xml:space="preserve"> </w:t>
      </w:r>
      <w:r>
        <w:t xml:space="preserve">backbones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}</m:t>
        </m:r>
      </m:oMath>
      <w:r>
        <w:t xml:space="preserve">, of the within-backbone min–max-normalised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recipe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higher means the recipe</w:t>
      </w:r>
      <w:r>
        <w:t xml:space="preserve"> </w:t>
      </w:r>
      <w:r>
        <w:t xml:space="preserve">consistently scores near the per-backbone top across all four</w:t>
      </w:r>
      <w:r>
        <w:t xml:space="preserve"> </w:t>
      </w:r>
      <w:r>
        <w:t xml:space="preserve">backbones. Table </w:t>
      </w:r>
      <w:hyperlink w:anchor="tab:affinit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computed</w:t>
      </w:r>
      <w:r>
        <w:t xml:space="preserve"> </w:t>
      </w:r>
      <w:r>
        <w:t xml:space="preserve">directly from the full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cells of</w:t>
      </w:r>
      <w:r>
        <w:t xml:space="preserve"> </w:t>
      </w:r>
      <w:r>
        <w:t xml:space="preserve">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, so every recipe — including the</w:t>
      </w:r>
      <w:r>
        <w:t xml:space="preserve"> </w:t>
      </w:r>
      <w:r>
        <w:t xml:space="preserve">label-aware V14 / V18 / V20 — sits on one common scale.</w:t>
      </w:r>
    </w:p>
    <w:bookmarkStart w:id="28" w:name="tab:affinity"/>
    <w:p>
      <w:pPr>
        <w:pStyle w:val="TableCaption"/>
      </w:pPr>
      <w:r>
        <w:t xml:space="preserve">Cross-backbone affinity scores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, computed from the full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factorial of</w:t>
      </w:r>
      <w:r>
        <w:t xml:space="preserve"> </w:t>
      </w:r>
      <w:r>
        <w:t xml:space="preserve">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 </w:t>
      </w:r>
      <w:r>
        <w:t xml:space="preserve">(min–max normalised within each backbone,</w:t>
      </w:r>
      <w:r>
        <w:t xml:space="preserve"> </w:t>
      </w:r>
      <w:r>
        <w:t xml:space="preserve">then averaged).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backbone affinity scores \mathcal{A}(V_i) [eq:affinity], computed from the full 19 \times 4 factorial of Table [tab:f2-factorial] (min–max normalised within each backbone, then averaged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script"/>
                  <m:sty m:val="p"/>
                </m:rPr>
                <m:t>A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</w:tbl>
    <w:bookmarkEnd w:id="28"/>
    <w:p>
      <w:pPr>
        <w:pStyle w:val="BodyText"/>
      </w:pPr>
      <w:r>
        <w:rPr>
          <w:b/>
          <w:bCs/>
        </w:rPr>
        <w:t xml:space="preserve">V12 and V20 tie for the highest cross-backbone affinity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=</m:t>
        </m:r>
        <m:r>
          <m:t>0.76</m:t>
        </m:r>
      </m:oMath>
      <w:r>
        <w:t xml:space="preserve">), with V1 (</w:t>
      </w:r>
      <m:oMath>
        <m:r>
          <m:t>0.74</m:t>
        </m:r>
      </m:oMath>
      <w:r>
        <w:t xml:space="preserve">) and V3 (</w:t>
      </w:r>
      <m:oMath>
        <m:r>
          <m:t>0.73</m:t>
        </m:r>
      </m:oMath>
      <w:r>
        <w:t xml:space="preserve">) close behind:</w:t>
      </w:r>
      <w:r>
        <w:t xml:space="preserve"> </w:t>
      </w:r>
      <w:r>
        <w:t xml:space="preserve">all four sit near the per-backbone top under every prior. V20 is the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label-aware</w:t>
      </w:r>
      <w:r>
        <w:t xml:space="preserve"> </w:t>
      </w:r>
      <w:r>
        <w:t xml:space="preserve">recipe in this leading group, making it the</w:t>
      </w:r>
      <w:r>
        <w:t xml:space="preserve"> </w:t>
      </w:r>
      <w:r>
        <w:t xml:space="preserve">most cross-backbone-portable label-aware recipe in the sweep and a</w:t>
      </w:r>
      <w:r>
        <w:t xml:space="preserve"> </w:t>
      </w:r>
      <w:r>
        <w:t xml:space="preserve">near-replacement for V12 / V3 when label information is available.</w:t>
      </w:r>
      <w:r>
        <w:t xml:space="preserve"> </w:t>
      </w:r>
      <w:r>
        <w:t xml:space="preserve">V3, although it only wins coherence outright under ProdLDA, remains a</w:t>
      </w:r>
      <w:r>
        <w:t xml:space="preserve"> </w:t>
      </w:r>
      <w:r>
        <w:t xml:space="preserve">top-4 affinity recipe because it is consistently strong everywhere</w:t>
      </w:r>
      <w:r>
        <w:t xml:space="preserve"> </w:t>
      </w:r>
      <w:r>
        <w:t xml:space="preserve">except HDP.</w:t>
      </w:r>
      <w:r>
        <w:t xml:space="preserve"> </w:t>
      </w:r>
      <w:r>
        <w:rPr>
          <w:b/>
          <w:bCs/>
        </w:rPr>
        <w:t xml:space="preserve">V13 (learned VQ-VAE) has the lowest affinity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=</m:t>
        </m:r>
        <m:r>
          <m:t>0.01</m:t>
        </m:r>
      </m:oMath>
      <w:r>
        <w:t xml:space="preserve">), scoring at the per-backbone minimum across all</w:t>
      </w:r>
      <w:r>
        <w:t xml:space="preserve"> </w:t>
      </w:r>
      <w:r>
        <w:t xml:space="preserve">four: the reconstruction-optimal VQ-VAE codebook does not align with</w:t>
      </w:r>
      <w:r>
        <w:t xml:space="preserve"> </w:t>
      </w:r>
      <w:r>
        <w:t xml:space="preserve">any of the four backbones’ priors. Note that V8 scores low here</w:t>
      </w:r>
      <w:r>
        <w:t xml:space="preserve"> </w:t>
      </w:r>
      <w:r>
        <w:t xml:space="preserve">(</w:t>
      </w:r>
      <m:oMath>
        <m:r>
          <m:t>0.09</m:t>
        </m:r>
      </m:oMath>
      <w:r>
        <w:t xml:space="preserve">) on</w:t>
      </w:r>
      <w:r>
        <w:t xml:space="preserve"> </w:t>
      </w:r>
      <w:r>
        <w:rPr>
          <w:i/>
          <w:iCs/>
        </w:rPr>
        <w:t xml:space="preserve">coherence</w:t>
      </w:r>
      <w:r>
        <w:t xml:space="preserve"> </w:t>
      </w:r>
      <w:r>
        <w:t xml:space="preserve">affinity specifically — it is a</w:t>
      </w:r>
      <w:r>
        <w:t xml:space="preserve"> </w:t>
      </w:r>
      <w:r>
        <w:t xml:space="preserve">small-vocabulary recipe whose strength is label coupling (F-7), not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; the F-7 factorial below ranks it very differently.</w:t>
      </w:r>
    </w:p>
    <w:bookmarkStart w:id="32" w:name="fig:affinity-bars"/>
    <w:p>
      <w:pPr>
        <w:pStyle w:val="CaptionedFigure"/>
      </w:pPr>
      <w:r>
        <w:drawing>
          <wp:inline>
            <wp:extent cx="5334000" cy="350839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4-affinity-bars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Cross-backbone affinity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 </w:t>
      </w:r>
      <w:r>
        <w:t xml:space="preserve">per recipe (Table </w:t>
      </w:r>
      <w:hyperlink w:anchor="tab:affinity">
        <w:r>
          <w:rPr>
            <w:rStyle w:val="Hyperlink"/>
          </w:rPr>
          <w:t xml:space="preserve">2</w:t>
        </w:r>
      </w:hyperlink>
      <w:r>
        <w:t xml:space="preserve">). V12 and V20 tie at the top</w:t>
      </w:r>
      <w:r>
        <w:t xml:space="preserve"> </w:t>
      </w:r>
      <w:r>
        <w:t xml:space="preserve">(</w:t>
      </w:r>
      <m:oMath>
        <m:r>
          <m:t>0.76</m:t>
        </m:r>
      </m:oMath>
      <w:r>
        <w:t xml:space="preserve">); V13 sits at the per-backbone minimum (</w:t>
      </w:r>
      <m:oMath>
        <m:r>
          <m:t>0.01</m:t>
        </m:r>
      </m:oMath>
      <w:r>
        <w:t xml:space="preserve">). V20 is the</w:t>
      </w:r>
      <w:r>
        <w:t xml:space="preserve"> </w:t>
      </w:r>
      <w:r>
        <w:t xml:space="preserve">only label-aware recipe in the leading group.</w:t>
      </w:r>
    </w:p>
    <w:bookmarkEnd w:id="32"/>
    <w:bookmarkEnd w:id="33"/>
    <w:bookmarkStart w:id="38" w:name="subsec:f7-backbone"/>
    <w:p>
      <w:pPr>
        <w:pStyle w:val="Heading2"/>
      </w:pPr>
      <w:r>
        <w:t xml:space="preserve">F-7 NMI under each backbone — V8 cross-backbone leadership</w:t>
      </w:r>
    </w:p>
    <w:p>
      <w:pPr>
        <w:pStyle w:val="FirstParagraph"/>
      </w:pPr>
      <w:r>
        <w:t xml:space="preserve">The c432–c437 extension computes F-7 normalised mutual information</w:t>
      </w:r>
      <w:r>
        <w:t xml:space="preserve"> 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 </w:t>
      </w:r>
      <w:r>
        <w:t xml:space="preserve">between the argmax topic per document and the</w:t>
      </w:r>
      <w:r>
        <w:t xml:space="preserve"> </w:t>
      </w:r>
      <w:r>
        <w:t xml:space="preserve">ground-truth labels for</w:t>
      </w:r>
      <w:r>
        <w:t xml:space="preserve"> </w:t>
      </w:r>
      <w:r>
        <w:t xml:space="preserve">the six labelled scenes, repeated under each backbone. The procedure</w:t>
      </w:r>
      <w:r>
        <w:t xml:space="preserve"> </w:t>
      </w:r>
      <w:r>
        <w:t xml:space="preserve">is: (1) fit the backbone via its deterministic builder, (2) project</w:t>
      </w:r>
      <w:r>
        <w:t xml:space="preserve"> </w:t>
      </w:r>
      <w:r>
        <w:t xml:space="preserve">each sampled labelled pixel through the fitted model to obtain the</w:t>
      </w:r>
      <w:r>
        <w:t xml:space="preserve"> </w:t>
      </w:r>
      <w:r>
        <w:t xml:space="preserve">topic mixture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(3) take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(4) compute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 For HDP we use gensim’s</w:t>
      </w:r>
      <w:r>
        <w:t xml:space="preserve"> </w:t>
      </w:r>
      <w:r>
        <w:rPr>
          <w:rStyle w:val="VerbatimChar"/>
        </w:rPr>
        <w:t xml:space="preserve">HdpModel.__getitem__</w:t>
      </w:r>
      <w:r>
        <w:t xml:space="preserve"> </w:t>
      </w:r>
      <w:r>
        <w:t xml:space="preserve">corpus projection; for ProdLDA and</w:t>
      </w:r>
      <w:r>
        <w:t xml:space="preserve"> </w:t>
      </w:r>
      <w:r>
        <w:t xml:space="preserve">ETM the trained encoder produces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 The resulting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76</m:t>
        </m:r>
      </m:oMath>
      <w:r>
        <w:t xml:space="preserve">-cell F-7 matrix is in Table </w:t>
      </w:r>
      <w:hyperlink w:anchor="tab:f7-backbone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34" w:name="tab:f7-backbone"/>
    <w:p>
      <w:pPr>
        <w:pStyle w:val="TableCaption"/>
      </w:pPr>
      <w:r>
        <w:t xml:space="preserve">F-7 NMI mean across the six labelled scenes for the top-12</w:t>
      </w:r>
      <w:r>
        <w:t xml:space="preserve"> </w:t>
      </w:r>
      <w:r>
        <w:t xml:space="preserve">recipes ranked by 4-backbone mean. Bold = per-backbone winner.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NMI mean across the six labelled scenes for the top-12 recipes ranked by 4-backbone mean. Bold = per-backbone winne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  <w:r>
              <w:t xml:space="preserve"> </w:t>
            </w:r>
            <w:r>
              <w:t xml:space="preserve">(NFINDR)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 (MI-weighted)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(intensity-bin)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 (product quantisation)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(joint band-bin)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 (UMAP coord)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 (spectral indices)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 (VQ-VAE)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 (CWT-Morlet)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 (graph-Laplacian)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(band-frequency)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0.252</w:t>
            </w:r>
          </w:p>
        </w:tc>
      </w:tr>
    </w:tbl>
    <w:bookmarkEnd w:id="34"/>
    <w:p>
      <w:pPr>
        <w:pStyle w:val="BodyText"/>
      </w:pPr>
      <w:r>
        <w:t xml:space="preserve">The F-7 backbone factorial reveals</w:t>
      </w:r>
      <w:r>
        <w:t xml:space="preserve"> </w:t>
      </w:r>
      <w:r>
        <w:rPr>
          <w:i/>
          <w:iCs/>
        </w:rPr>
        <w:t xml:space="preserve">three distinct cross-backbone</w:t>
      </w:r>
      <w:r>
        <w:rPr>
          <w:i/>
          <w:iCs/>
        </w:rPr>
        <w:t xml:space="preserve"> </w:t>
      </w:r>
      <w:r>
        <w:rPr>
          <w:i/>
          <w:iCs/>
        </w:rPr>
        <w:t xml:space="preserve">families</w:t>
      </w:r>
      <w:r>
        <w:t xml:space="preserve">:</w:t>
      </w:r>
    </w:p>
    <w:bookmarkStart w:id="35" w:name="family-1-consistently-strong."/>
    <w:p>
      <w:pPr>
        <w:pStyle w:val="Heading4"/>
      </w:pPr>
      <w:r>
        <w:t xml:space="preserve">Family 1 — consistently strong.</w:t>
      </w:r>
    </w:p>
    <w:p>
      <w:pPr>
        <w:pStyle w:val="FirstParagraph"/>
      </w:pPr>
      <w:r>
        <w:t xml:space="preserve">V8, V20, V2. Top-5 under</w:t>
      </w:r>
      <w:r>
        <w:t xml:space="preserve"> </w:t>
      </w:r>
      <w:r>
        <w:t xml:space="preserve">every backbone, smallest cross-backbone standard deviation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≤</m:t>
        </m:r>
        <m:r>
          <m:t>0.07</m:t>
        </m:r>
      </m:oMath>
      <w:r>
        <w:t xml:space="preserve">). V8 is the leader at mean</w:t>
      </w:r>
      <w:r>
        <w:t xml:space="preserve"> </w:t>
      </w:r>
      <m:oMath>
        <m:r>
          <m:t>0.431</m:t>
        </m:r>
      </m:oMath>
      <w:r>
        <w:t xml:space="preserve"> </w:t>
      </w:r>
      <w:r>
        <w:t xml:space="preserve">but wins</w:t>
      </w:r>
      <w:r>
        <w:t xml:space="preserve"> </w:t>
      </w:r>
      <w:r>
        <w:t xml:space="preserve">outright only under ProdLDA. V20 is the unique label-aware recipe in</w:t>
      </w:r>
      <w:r>
        <w:t xml:space="preserve"> </w:t>
      </w:r>
      <w:r>
        <w:t xml:space="preserve">this family.</w:t>
      </w:r>
    </w:p>
    <w:bookmarkEnd w:id="35"/>
    <w:bookmarkStart w:id="36" w:name="family-2-backbone-specialist."/>
    <w:p>
      <w:pPr>
        <w:pStyle w:val="Heading4"/>
      </w:pPr>
      <w:r>
        <w:t xml:space="preserve">Family 2 — backbone-specialist.</w:t>
      </w:r>
    </w:p>
    <w:p>
      <w:pPr>
        <w:pStyle w:val="FirstParagraph"/>
      </w:pPr>
      <w:r>
        <w:t xml:space="preserve">V11 (product quantisation)</w:t>
      </w:r>
      <w:r>
        <w:t xml:space="preserve"> </w:t>
      </w:r>
      <w:r>
        <w:t xml:space="preserve">wins HDP (</w:t>
      </w:r>
      <m:oMath>
        <m:r>
          <m:t>0.571</m:t>
        </m:r>
      </m:oMath>
      <w:r>
        <w:t xml:space="preserve">) and ETM (</w:t>
      </w:r>
      <m:oMath>
        <m:r>
          <m:t>0.530</m:t>
        </m:r>
      </m:oMath>
      <w:r>
        <w:t xml:space="preserve">) but collapses to</w:t>
      </w:r>
      <w:r>
        <w:t xml:space="preserve"> </w:t>
      </w:r>
      <m:oMath>
        <m:r>
          <m:t>0.292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LDA and</w:t>
      </w:r>
      <w:r>
        <w:t xml:space="preserve"> </w:t>
      </w:r>
      <m:oMath>
        <m:r>
          <m:t>0.088</m:t>
        </m:r>
      </m:oMath>
      <w:r>
        <w:t xml:space="preserve"> </w:t>
      </w:r>
      <w:r>
        <w:t xml:space="preserve">under ProdLDA — the widest cross-backbone spread in</w:t>
      </w:r>
      <w:r>
        <w:t xml:space="preserve"> </w:t>
      </w:r>
      <w:r>
        <w:t xml:space="preserve">the sweep. V19 (UMAP coordinates) shows a similar HDP-favoured</w:t>
      </w:r>
      <w:r>
        <w:t xml:space="preserve"> </w:t>
      </w:r>
      <w:r>
        <w:t xml:space="preserve">profile.</w:t>
      </w:r>
    </w:p>
    <w:bookmarkEnd w:id="36"/>
    <w:bookmarkStart w:id="37" w:name="family-3-lda-dominant."/>
    <w:p>
      <w:pPr>
        <w:pStyle w:val="Heading4"/>
      </w:pPr>
      <w:r>
        <w:t xml:space="preserve">Family 3 — LDA-dominant.</w:t>
      </w:r>
    </w:p>
    <w:p>
      <w:pPr>
        <w:pStyle w:val="FirstParagraph"/>
      </w:pPr>
      <w:r>
        <w:t xml:space="preserve">V12, V3, V14. Top-5 under LDA</w:t>
      </w:r>
      <w:r>
        <w:t xml:space="preserve"> </w:t>
      </w:r>
      <w:r>
        <w:t xml:space="preserve">but middle of the pack under the alternative priors. V12’s F-7 LDA</w:t>
      </w:r>
      <w:r>
        <w:t xml:space="preserve"> </w:t>
      </w:r>
      <w:r>
        <w:t xml:space="preserve">win disappears entirely under HDP / ETM (where V11 wins) and gets</w:t>
      </w:r>
      <w:r>
        <w:t xml:space="preserve"> </w:t>
      </w:r>
      <w:r>
        <w:t xml:space="preserve">edged out by V8 / V2 under ProdLDA.</w:t>
      </w:r>
    </w:p>
    <w:p>
      <w:pPr>
        <w:pStyle w:val="BodyText"/>
      </w:pPr>
      <w:r>
        <w:t xml:space="preserve">The take-away is that the backbone factorial swap dimension matters</w:t>
      </w:r>
      <w:r>
        <w:t xml:space="preserve"> </w:t>
      </w:r>
      <w:r>
        <w:rPr>
          <w:i/>
          <w:iCs/>
        </w:rPr>
        <w:t xml:space="preserve">as much as the recipe dimension</w:t>
      </w:r>
      <w:r>
        <w:t xml:space="preserve">: V11 looks like a poor</w:t>
      </w:r>
      <w:r>
        <w:t xml:space="preserve"> </w:t>
      </w:r>
      <w:r>
        <w:t xml:space="preserve">choice under LDA but is the headline winner under HDP / ETM, and</w:t>
      </w:r>
      <w:r>
        <w:t xml:space="preserve"> </w:t>
      </w:r>
      <w:r>
        <w:t xml:space="preserve">V12’s LDA leadership does not generalise. This corroborates the P3</w:t>
      </w:r>
      <w:r>
        <w:t xml:space="preserve"> </w:t>
      </w:r>
      <w:r>
        <w:t xml:space="preserve">narrative that no recipe-backbone choice is canonical.</w:t>
      </w:r>
    </w:p>
    <w:bookmarkEnd w:id="37"/>
    <w:bookmarkEnd w:id="38"/>
    <w:bookmarkStart w:id="47" w:name="sec:affinities"/>
    <w:p>
      <w:pPr>
        <w:pStyle w:val="Heading2"/>
      </w:pPr>
      <w:r>
        <w:t xml:space="preserve">Three backbone–recipe affinities</w:t>
      </w:r>
    </w:p>
    <w:bookmarkStart w:id="42" w:name="fig:prior-geometry"/>
    <w:p>
      <w:pPr>
        <w:pStyle w:val="CaptionedFigure"/>
      </w:pPr>
      <w:r>
        <w:drawing>
          <wp:inline>
            <wp:extent cx="5334000" cy="35523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4-prior-geometry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each prior favours a different vocabulary geometry. The</w:t>
      </w:r>
      <w:r>
        <w:t xml:space="preserve"> </w:t>
      </w:r>
      <w:r>
        <w:t xml:space="preserve">Dirichlet-like priors of LDA / ETM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,</w:t>
      </w:r>
      <w:r>
        <w:t xml:space="preserve"> 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 </w:t>
      </w:r>
      <w:r>
        <w:t xml:space="preserve">reward dense vocabularies (V12 / V3); HDP’s stick-breaking truncation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 </w:t>
      </w:r>
      <w:r>
        <w:t xml:space="preserve">rewards sparse-event vocabularies (V7); ProdLDA’s</w:t>
      </w:r>
      <w:r>
        <w:t xml:space="preserve"> </w:t>
      </w:r>
      <w:r>
        <w:t xml:space="preserve">logistic-normal prior</w:t>
      </w:r>
      <w:r>
        <w:t xml:space="preserve"> 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 </w:t>
      </w:r>
      <w:r>
        <w:t xml:space="preserve">rewards large vocabularies</w:t>
      </w:r>
      <w:r>
        <w:t xml:space="preserve"> </w:t>
      </w:r>
      <w:r>
        <w:t xml:space="preserve">that let a few tokens discriminate strongly (V3).</w:t>
      </w:r>
    </w:p>
    <w:bookmarkEnd w:id="42"/>
    <w:p>
      <w:pPr>
        <w:pStyle w:val="BodyText"/>
      </w:pPr>
      <w:r>
        <w:rPr>
          <w:b/>
          <w:bCs/>
        </w:rPr>
        <w:t xml:space="preserve">Dirichlet prior + dense vocabulary.</w:t>
      </w:r>
      <w:r>
        <w:t xml:space="preserve"> </w:t>
      </w:r>
      <w:r>
        <w:t xml:space="preserve">LDA and ETM both use a</w:t>
      </w:r>
      <w:r>
        <w:t xml:space="preserve"> </w:t>
      </w:r>
      <w:r>
        <w:t xml:space="preserve">Dirichlet-like prior over the topic simplex. They both pick V12 (GMM-</w:t>
      </w:r>
      <w:r>
        <w:t xml:space="preserve"> </w:t>
      </w:r>
      <w:r>
        <w:t xml:space="preserve">token, 1600 word types from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joint vocab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). The Dirichlet prior favours topics whose word distributions</w:t>
      </w:r>
      <w:r>
        <w:t xml:space="preserve"> </w:t>
      </w:r>
      <w:r>
        <w:t xml:space="preserve">have meaningful mass on many tokens; V12’s dense vocabulary delivers.</w:t>
      </w:r>
    </w:p>
    <w:p>
      <w:pPr>
        <w:pStyle w:val="BodyText"/>
      </w:pPr>
      <w:r>
        <w:rPr>
          <w:b/>
          <w:bCs/>
        </w:rPr>
        <w:t xml:space="preserve">Truncation prior + sparse event vocabulary.</w:t>
      </w:r>
      <w:r>
        <w:t xml:space="preserve"> </w:t>
      </w:r>
      <w:r>
        <w:t xml:space="preserve">HDP’s</w:t>
      </w:r>
      <w:r>
        <w:t xml:space="preserve"> </w:t>
      </w:r>
      <w:r>
        <w:t xml:space="preserve">stick-breaking truncation prior gives high weight to a few sticks</w:t>
      </w:r>
      <w:r>
        <w:t xml:space="preserve"> </w:t>
      </w:r>
      <w:r>
        <w:t xml:space="preserve">(topics with concentrated mass) and decays geometrically thereafter.</w:t>
      </w:r>
      <w:r>
        <w:t xml:space="preserve"> </w:t>
      </w:r>
      <w:r>
        <w:t xml:space="preserve">This rewards recipes whose tokens carry semantic weight individually</w:t>
      </w:r>
      <w:r>
        <w:t xml:space="preserve"> </w:t>
      </w:r>
      <w:r>
        <w:t xml:space="preserve">rather than via density. V7 (absorption triplets, at most six tokens</w:t>
      </w:r>
      <w:r>
        <w:t xml:space="preserve"> </w:t>
      </w:r>
      <w:r>
        <w:t xml:space="preserve">per document) fits this profile exactly.</w:t>
      </w:r>
    </w:p>
    <w:p>
      <w:pPr>
        <w:pStyle w:val="BodyText"/>
      </w:pPr>
      <w:r>
        <w:rPr>
          <w:b/>
          <w:bCs/>
        </w:rPr>
        <w:t xml:space="preserve">Logistic-normal prior + large vocabulary.</w:t>
      </w:r>
      <w:r>
        <w:t xml:space="preserve"> </w:t>
      </w:r>
      <w:r>
        <w:t xml:space="preserve">ProdLDA’s</w:t>
      </w:r>
      <w:r>
        <w:t xml:space="preserve"> </w:t>
      </w:r>
      <w:r>
        <w:t xml:space="preserve">logistic-normal prior over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allows the encoder to push</w:t>
      </w:r>
      <w:r>
        <w:t xml:space="preserve"> </w:t>
      </w:r>
      <w:r>
        <w:t xml:space="preserve">topic mixtures arbitrarily far from the simplex centre. This rewards</w:t>
      </w:r>
      <w:r>
        <w:t xml:space="preserve"> </w:t>
      </w:r>
      <w:r>
        <w:t xml:space="preserve">recipes whose vocabulary is large enough that a few tokens</w:t>
      </w:r>
      <w:r>
        <w:t xml:space="preserve"> </w:t>
      </w:r>
      <w:r>
        <w:t xml:space="preserve">discriminate strongly between topics. V3’s joint (band, bin) vocab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×</m:t>
        </m:r>
        <m:r>
          <m:t>Q</m:t>
        </m:r>
        <m:r>
          <m:rPr>
            <m:sty m:val="p"/>
          </m:rPr>
          <m:t>=</m:t>
        </m:r>
        <m:r>
          <m:t>1600</m:t>
        </m:r>
      </m:oMath>
      <w:r>
        <w:t xml:space="preserve"> </w:t>
      </w:r>
      <w:r>
        <w:t xml:space="preserve">types) is the largest discrete vocabulary we</w:t>
      </w:r>
      <w:r>
        <w:t xml:space="preserve"> </w:t>
      </w:r>
      <w:r>
        <w:t xml:space="preserve">consider with no spatial or learned structure — and it wins ProdLDA.</w:t>
      </w:r>
    </w:p>
    <w:bookmarkStart w:id="46" w:name="fig:per-scene-backbone-winners"/>
    <w:p>
      <w:pPr>
        <w:pStyle w:val="CaptionedFigure"/>
      </w:pPr>
      <w:r>
        <w:drawing>
          <wp:inline>
            <wp:extent cx="5067300" cy="338280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4-backbone-scene-winners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82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Per-scene F-7 NMI winner under each backbone. Tile colour</w:t>
      </w:r>
      <w:r>
        <w:t xml:space="preserve"> </w:t>
      </w:r>
      <w:r>
        <w:t xml:space="preserve">encodes the winning recipe’s family from the wordification taxonomy.</w:t>
      </w:r>
      <w:r>
        <w:t xml:space="preserve"> </w:t>
      </w:r>
      <w:r>
        <w:t xml:space="preserve">HDP is dominated by V11 (5/6 scenes, including V19 on Salinas — both</w:t>
      </w:r>
      <w:r>
        <w:t xml:space="preserve"> </w:t>
      </w:r>
      <w:r>
        <w:t xml:space="preserve">learnt-unsupervised codebook family); ETM also picks V11 on 4/6</w:t>
      </w:r>
      <w:r>
        <w:t xml:space="preserve"> </w:t>
      </w:r>
      <w:r>
        <w:t xml:space="preserve">scenes. LDA has the most diverse per-scene winners. ProdLDA favours</w:t>
      </w:r>
      <w:r>
        <w:t xml:space="preserve"> </w:t>
      </w:r>
      <w:r>
        <w:t xml:space="preserve">V8 / V12 / V2 — the absorption / intensity-bin family.</w:t>
      </w:r>
    </w:p>
    <w:bookmarkEnd w:id="46"/>
    <w:bookmarkEnd w:id="47"/>
    <w:bookmarkStart w:id="48" w:name="subsec:v11-mechanism"/>
    <w:p>
      <w:pPr>
        <w:pStyle w:val="Heading2"/>
      </w:pPr>
      <w:r>
        <w:t xml:space="preserve">Why V11 wins HDP and ETM but bombs LDA and ProdLDA</w:t>
      </w:r>
    </w:p>
    <w:p>
      <w:pPr>
        <w:pStyle w:val="FirstParagraph"/>
      </w:pPr>
      <w:r>
        <w:t xml:space="preserve">V11 (product quantisation,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sub-vectors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codewords) has the smallest vocabulary in the sweep —</w:t>
      </w:r>
      <w:r>
        <w:t xml:space="preserve"> </w:t>
      </w:r>
      <m:oMath>
        <m:r>
          <m:t>M</m:t>
        </m:r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tokens, two orders of magnitude smaller than V12’s</w:t>
      </w:r>
      <w:r>
        <w:t xml:space="preserve"> </w:t>
      </w:r>
      <m:oMath>
        <m:r>
          <m:t>B</m:t>
        </m:r>
        <m:r>
          <m:t>Q</m:t>
        </m:r>
        <m:r>
          <m:rPr>
            <m:sty m:val="p"/>
          </m:rPr>
          <m:t>≈</m:t>
        </m:r>
        <m:r>
          <m:t>1600</m:t>
        </m:r>
      </m:oMath>
      <w:r>
        <w:t xml:space="preserve">.</w:t>
      </w:r>
      <w:r>
        <w:t xml:space="preserve"> </w:t>
      </w:r>
      <w:r>
        <w:t xml:space="preserve">A small vocabulary interacts very differently with each backbone’s</w:t>
      </w:r>
      <w:r>
        <w:t xml:space="preserve"> </w:t>
      </w:r>
      <w:r>
        <w:t xml:space="preserve">prior: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HDP</w:t>
      </w:r>
      <w:r>
        <w:t xml:space="preserve"> </w:t>
      </w:r>
      <w:r>
        <w:t xml:space="preserve">(stick-breaking truncation), the</w:t>
      </w:r>
      <w:r>
        <w:t xml:space="preserve"> </w:t>
      </w:r>
      <w:r>
        <w:t xml:space="preserve">Dirichlet-Process prior is sparsity-inducing in the</w:t>
      </w:r>
      <w:r>
        <w:t xml:space="preserve"> </w:t>
      </w:r>
      <w:r>
        <w:rPr>
          <w:i/>
          <w:iCs/>
        </w:rPr>
        <w:t xml:space="preserve">topic</w:t>
      </w:r>
      <w:r>
        <w:t xml:space="preserve"> </w:t>
      </w:r>
      <w:r>
        <w:t xml:space="preserve">dimension: only a handful of effective topics</w:t>
      </w:r>
      <w:r>
        <w:t xml:space="preserve"> </w:t>
      </w:r>
      <w:r>
        <w:t xml:space="preserve">survive. A small vocabulary makes each surviving topic a</w:t>
      </w:r>
      <w:r>
        <w:t xml:space="preserve"> </w:t>
      </w:r>
      <w:r>
        <w:t xml:space="preserve">high-information indicator on the sub-vector codeword space,</w:t>
      </w:r>
      <w:r>
        <w:t xml:space="preserve"> </w:t>
      </w:r>
      <w:r>
        <w:t xml:space="preserve">which the HDP can cleanly attach to a labelled class. V11’s</w:t>
      </w:r>
      <w:r>
        <w:t xml:space="preserve"> </w:t>
      </w:r>
      <w:r>
        <w:t xml:space="preserve">coarse quantisation</w:t>
      </w:r>
      <w:r>
        <w:t xml:space="preserve"> </w:t>
      </w:r>
      <w:r>
        <w:rPr>
          <w:i/>
          <w:iCs/>
        </w:rPr>
        <w:t xml:space="preserve">matches the HDP’s coarse topic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ETM</w:t>
      </w:r>
      <w:r>
        <w:t xml:space="preserve"> </w:t>
      </w:r>
      <w:r>
        <w:t xml:space="preserve">(low-rank embedded decoder), the topic-</w:t>
      </w:r>
      <w:r>
        <w:t xml:space="preserve"> </w:t>
      </w:r>
      <w:r>
        <w:t xml:space="preserve">word distribution is constrained to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ρ</m:t>
        </m:r>
        <m:sSubSup>
          <m:e>
            <m:r>
              <m:t>α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E</m:t>
            </m:r>
          </m:sup>
        </m:sSup>
      </m:oMath>
      <w:r>
        <w:t xml:space="preserve">. A small vocabulary</w:t>
      </w:r>
      <w:r>
        <w:t xml:space="preserve"> </w:t>
      </w:r>
      <w:r>
        <w:t xml:space="preserve">means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tiny (</w:t>
      </w:r>
      <m:oMath>
        <m:r>
          <m:t>32</m:t>
        </m:r>
        <m:r>
          <m:rPr>
            <m:sty m:val="p"/>
          </m:rPr>
          <m:t>×</m:t>
        </m:r>
        <m:r>
          <m:t>E</m:t>
        </m:r>
      </m:oMath>
      <w:r>
        <w:t xml:space="preserve">) and the embedded geometry</w:t>
      </w:r>
      <w:r>
        <w:t xml:space="preserve"> </w:t>
      </w:r>
      <w:r>
        <w:t xml:space="preserve">can be fully learnt from few PQ codewords. V11’s coarse</w:t>
      </w:r>
      <w:r>
        <w:t xml:space="preserve"> </w:t>
      </w:r>
      <w:r>
        <w:t xml:space="preserve">vocabulary</w:t>
      </w:r>
      <w:r>
        <w:t xml:space="preserve"> </w:t>
      </w:r>
      <w:r>
        <w:rPr>
          <w:i/>
          <w:iCs/>
        </w:rPr>
        <w:t xml:space="preserve">matches the ETM’s low-dimensional decoder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LDA</w:t>
      </w:r>
      <w:r>
        <w:t xml:space="preserve"> </w:t>
      </w:r>
      <w:r>
        <w:t xml:space="preserve">(symmetric Dirichlet over a large</w:t>
      </w:r>
      <w:r>
        <w:t xml:space="preserve"> </w:t>
      </w:r>
      <w:r>
        <w:t xml:space="preserve">vocabulary), the conjugate prior expects each topic to be a</w:t>
      </w:r>
      <w:r>
        <w:t xml:space="preserve"> </w:t>
      </w:r>
      <w:r>
        <w:t xml:space="preserve">full distribution over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tokens. 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vocabulary means</w:t>
      </w:r>
      <w:r>
        <w:t xml:space="preserve"> </w:t>
      </w:r>
      <w:r>
        <w:t xml:space="preserve">each topic-word vector is over-determined by very few tokens,</w:t>
      </w:r>
      <w:r>
        <w:t xml:space="preserve"> </w:t>
      </w:r>
      <w:r>
        <w:t xml:space="preserve">making the topic-mixture argmax noisy and the F-7 NMI weak</w:t>
      </w:r>
      <w:r>
        <w:t xml:space="preserve"> </w:t>
      </w:r>
      <w:r>
        <w:t xml:space="preserve">(V11 LDA</w:t>
      </w:r>
      <w:r>
        <w:t xml:space="preserve"> </w:t>
      </w:r>
      <m:oMath>
        <m:r>
          <m:rPr>
            <m:sty m:val="p"/>
          </m:rPr>
          <m:t>=</m:t>
        </m:r>
        <m:r>
          <m:t>0.292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ProdLDA</w:t>
      </w:r>
      <w:r>
        <w:t xml:space="preserve"> </w:t>
      </w:r>
      <w:r>
        <w:t xml:space="preserve">(logistic-normal prior, neural</w:t>
      </w:r>
      <w:r>
        <w:t xml:space="preserve"> </w:t>
      </w:r>
      <w:r>
        <w:t xml:space="preserve">encoder</w:t>
      </w:r>
      <w:r>
        <w:t xml:space="preserve"> </w:t>
      </w:r>
      <m:oMath>
        <m:sSub>
          <m:e>
            <m:r>
              <m:t>q</m:t>
            </m:r>
          </m:e>
          <m:sub>
            <m:r>
              <m:t>ϕ</m:t>
            </m:r>
          </m:sub>
        </m:sSub>
      </m:oMath>
      <w:r>
        <w:t xml:space="preserve">), the encoder must compress each pixel’s full</w:t>
      </w:r>
      <w:r>
        <w:t xml:space="preserve"> </w:t>
      </w:r>
      <w:r>
        <w:t xml:space="preserve">spectrum into a topic-mixture vector,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supervised</w:t>
      </w:r>
      <w:r>
        <w:t xml:space="preserve"> </w:t>
      </w:r>
      <w:r>
        <w:t xml:space="preserve">only by the reconstruction loss. The 32-token vocabulary</w:t>
      </w:r>
      <w:r>
        <w:t xml:space="preserve"> </w:t>
      </w:r>
      <w:r>
        <w:t xml:space="preserve">starves the encoder of distinguishable features, and the</w:t>
      </w:r>
      <w:r>
        <w:t xml:space="preserve"> </w:t>
      </w:r>
      <w:r>
        <w:t xml:space="preserve">argmax topic becomes degenerate (V11 ProdLDA</w:t>
      </w:r>
      <w:r>
        <w:t xml:space="preserve"> </w:t>
      </w:r>
      <m:oMath>
        <m:r>
          <m:rPr>
            <m:sty m:val="p"/>
          </m:rPr>
          <m:t>=</m:t>
        </m:r>
        <m:r>
          <m:t>0.088</m:t>
        </m:r>
      </m:oMath>
      <w:r>
        <w:t xml:space="preserve">, near</w:t>
      </w:r>
      <w:r>
        <w:t xml:space="preserve"> </w:t>
      </w:r>
      <w:r>
        <w:t xml:space="preserve">chance).</w:t>
      </w:r>
    </w:p>
    <w:p>
      <w:pPr>
        <w:pStyle w:val="FirstParagraph"/>
      </w:pPr>
      <w:r>
        <w:t xml:space="preserve">The same mechanism explains V19 (UMAP coords, vocab</w:t>
      </w:r>
      <w:r>
        <w:t xml:space="preserve"> </w:t>
      </w:r>
      <m:oMath>
        <m:r>
          <m:rPr>
            <m:sty m:val="p"/>
          </m:rPr>
          <m:t>=</m:t>
        </m:r>
        <m:r>
          <m:t>24</m:t>
        </m:r>
      </m:oMath>
      <w:r>
        <w:t xml:space="preserve">): wins</w:t>
      </w:r>
      <w:r>
        <w:t xml:space="preserve"> </w:t>
      </w:r>
      <w:r>
        <w:t xml:space="preserve">HDP at 0.530 but collapses to 0.051 under ProdLDA. The size of the</w:t>
      </w:r>
      <w:r>
        <w:t xml:space="preserve"> </w:t>
      </w:r>
      <w:r>
        <w:t xml:space="preserve">vocabulary alone changes the F-7 winner; the recipe-backbone choice</w:t>
      </w:r>
      <w:r>
        <w:t xml:space="preserve"> </w:t>
      </w:r>
      <w:r>
        <w:t xml:space="preserve">is genuinely two-dimensional.</w:t>
      </w:r>
    </w:p>
    <w:bookmarkEnd w:id="48"/>
    <w:bookmarkEnd w:id="49"/>
    <w:bookmarkStart w:id="50" w:name="sec:recommendation"/>
    <w:p>
      <w:pPr>
        <w:pStyle w:val="Heading1"/>
      </w:pPr>
      <w:r>
        <w:t xml:space="preserve">Practical recommendation</w:t>
      </w:r>
    </w:p>
    <w:p>
      <w:pPr>
        <w:pStyle w:val="FirstParagraph"/>
      </w:pP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hyper-decision in LDA-on-HSI work, not two independent choices.</w:t>
      </w:r>
      <w:r>
        <w:t xml:space="preserve"> </w:t>
      </w:r>
      <w:r>
        <w:t xml:space="preserve">Reporting V12 as the best recipe is incomplete without specifying that</w:t>
      </w:r>
      <w:r>
        <w:t xml:space="preserve"> </w:t>
      </w:r>
      <w:r>
        <w:t xml:space="preserve">the result holds for LDA and ETM; reporting V3 as the best recipe is</w:t>
      </w:r>
      <w:r>
        <w:t xml:space="preserve"> </w:t>
      </w:r>
      <w:r>
        <w:t xml:space="preserve">incomplete without specifying ProdLDA.</w:t>
      </w:r>
    </w:p>
    <w:p>
      <w:pPr>
        <w:pStyle w:val="BodyText"/>
      </w:pPr>
      <w:r>
        <w:t xml:space="preserve">We make three recommendations:</w:t>
      </w:r>
    </w:p>
    <w:p>
      <w:pPr>
        <w:numPr>
          <w:ilvl w:val="0"/>
          <w:numId w:val="1004"/>
        </w:numPr>
      </w:pPr>
      <w:r>
        <w:t xml:space="preserve">Future LDA-on-HSI papers should report the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pair explicitly in</w:t>
      </w:r>
      <w:r>
        <w:t xml:space="preserve"> </w:t>
      </w:r>
      <w:r>
        <w:t xml:space="preserve">table headers, not as separate hyperparameters.</w:t>
      </w:r>
    </w:p>
    <w:p>
      <w:pPr>
        <w:numPr>
          <w:ilvl w:val="0"/>
          <w:numId w:val="1004"/>
        </w:numPr>
      </w:pPr>
      <w:r>
        <w:t xml:space="preserve">Cross-backbone affinity</w:t>
      </w:r>
      <w:r>
        <w:t xml:space="preserve"> 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 </w:t>
      </w:r>
      <w:r>
        <w:t xml:space="preserve">is a more</w:t>
      </w:r>
      <w:r>
        <w:t xml:space="preserve"> </w:t>
      </w:r>
      <w:r>
        <w:t xml:space="preserve">informative summary than per-backbone-winner counts: it identifies</w:t>
      </w:r>
      <w:r>
        <w:t xml:space="preserve"> </w:t>
      </w:r>
      <w:r>
        <w:t xml:space="preserve">recipes that generalise across families (V12, V20, V1, V3) versus</w:t>
      </w:r>
      <w:r>
        <w:t xml:space="preserve"> </w:t>
      </w:r>
      <w:r>
        <w:t xml:space="preserve">those that only win in narrow regimes (V7 for HDP, V13 nowhere).</w:t>
      </w:r>
    </w:p>
    <w:p>
      <w:pPr>
        <w:numPr>
          <w:ilvl w:val="0"/>
          <w:numId w:val="1004"/>
        </w:numPr>
      </w:pPr>
      <w:r>
        <w:t xml:space="preserve">V1 (band-frequency) remains a defensible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 </w:t>
      </w:r>
      <w:r>
        <w:t xml:space="preserve">canonical because of P3’s F-18 result, but should not be claimed</w:t>
      </w:r>
      <w:r>
        <w:t xml:space="preserve"> </w:t>
      </w:r>
      <w:r>
        <w:t xml:space="preserve">as a universal best on coherence in any backbone.</w:t>
      </w:r>
    </w:p>
    <w:bookmarkEnd w:id="50"/>
    <w:bookmarkStart w:id="60" w:name="sec: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LDVAE-T (Giannetti &amp; Qureshi 2025) was the fifth proposed</w:t>
      </w:r>
      <w:r>
        <w:t xml:space="preserve"> </w:t>
      </w:r>
      <w:r>
        <w:t xml:space="preserve">backbone; no public code at the time of writing. When code</w:t>
      </w:r>
      <w:r>
        <w:t xml:space="preserve"> </w:t>
      </w:r>
      <w:r>
        <w:t xml:space="preserve">becomes available, the LDVAE-T row should be added.</w:t>
      </w:r>
    </w:p>
    <w:p>
      <w:pPr>
        <w:numPr>
          <w:ilvl w:val="0"/>
          <w:numId w:val="1005"/>
        </w:numPr>
      </w:pPr>
      <w:r>
        <w:t xml:space="preserve">F-1 (Bayesian classification) is only run under LDA. Running</w:t>
      </w:r>
      <w:r>
        <w:t xml:space="preserve"> </w:t>
      </w:r>
      <w:r>
        <w:t xml:space="preserve">F-1 under HDP / ProdLDA / ETM requires extending the topic-routed</w:t>
      </w:r>
      <w:r>
        <w:t xml:space="preserve"> </w:t>
      </w:r>
      <w:r>
        <w:t xml:space="preserve">classifier pipeline to each backbone, deferred.</w:t>
      </w:r>
    </w:p>
    <w:p>
      <w:pPr>
        <w:numPr>
          <w:ilvl w:val="0"/>
          <w:numId w:val="1005"/>
        </w:numPr>
      </w:pPr>
      <w:r>
        <w:t xml:space="preserve">HDP’s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effective</m:t>
            </m:r>
          </m:sub>
        </m:sSub>
      </m:oMath>
      <w:r>
        <w:t xml:space="preserve"> </w:t>
      </w:r>
      <w:r>
        <w:t xml:space="preserve">extraction (currently truncation</w:t>
      </w:r>
      <w:r>
        <w:t xml:space="preserve"> </w:t>
      </w:r>
      <w:r>
        <w:t xml:space="preserve">level) needs refinement to use a topic-prevalence threshold;</w:t>
      </w:r>
      <w:r>
        <w:t xml:space="preserve"> </w:t>
      </w:r>
      <w:r>
        <w:t xml:space="preserve">affects F-16 model-selection adequacy.</w:t>
      </w:r>
    </w:p>
    <w:bookmarkStart w:id="59" w:name="refs"/>
    <w:bookmarkStart w:id="52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51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52"/>
    <w:bookmarkStart w:id="54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t xml:space="preserve">“Online Learning for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Advances in Neural Information Processing Systems 23 (NIPS 2010)</w:t>
      </w:r>
      <w:r>
        <w:t xml:space="preserve">, 856–64.</w:t>
      </w:r>
      <w:r>
        <w:t xml:space="preserve"> </w:t>
      </w:r>
      <w:hyperlink r:id="rId53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54"/>
    <w:bookmarkStart w:id="56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56"/>
    <w:bookmarkStart w:id="58" w:name="ref-teh2006hdp"/>
    <w:p>
      <w:pPr>
        <w:pStyle w:val="Bibliography"/>
      </w:pPr>
      <w:r>
        <w:t xml:space="preserve">Teh, Yee Whye, Michael I. Jordan, Matthew J. Beal, and David M. Blei. 2006.</w:t>
      </w:r>
      <w:r>
        <w:t xml:space="preserve"> </w:t>
      </w:r>
      <w:r>
        <w:t xml:space="preserve">“Hierarchical</w:t>
      </w:r>
      <w:r>
        <w:t xml:space="preserve"> </w:t>
      </w:r>
      <w:r>
        <w:t xml:space="preserve">Dirichlet</w:t>
      </w:r>
      <w:r>
        <w:t xml:space="preserve"> </w:t>
      </w:r>
      <w:r>
        <w:t xml:space="preserve">Processes.”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101 (476): 1566–81.</w:t>
      </w:r>
      <w:r>
        <w:t xml:space="preserve"> </w:t>
      </w:r>
      <w:hyperlink r:id="rId57">
        <w:r>
          <w:rPr>
            <w:rStyle w:val="Hyperlink"/>
          </w:rPr>
          <w:t xml:space="preserve">https://doi.org/10.1198/016214506000000302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Third manuscript in the CAOS_LDA_HSI</w:t>
      </w:r>
      <w:r>
        <w:t xml:space="preserve"> </w:t>
      </w:r>
      <w:r>
        <w:t xml:space="preserve">programme. Companion papers: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(P1, twelve-axis</w:t>
      </w:r>
      <w:r>
        <w:t xml:space="preserve"> </w:t>
      </w:r>
      <w:r>
        <w:t xml:space="preserve">framework) and</w:t>
      </w:r>
      <w:r>
        <w:t xml:space="preserve"> </w:t>
      </w:r>
      <w:r>
        <w:rPr>
          <w:i/>
          <w:iCs/>
        </w:rPr>
        <w:t xml:space="preserve">Which Wordification Matters?</w:t>
      </w:r>
      <w:r>
        <w:t xml:space="preserve"> </w:t>
      </w:r>
      <w:r>
        <w:t xml:space="preserve">(P3, 13-recipe</w:t>
      </w:r>
      <w:r>
        <w:t xml:space="preserve"> </w:t>
      </w:r>
      <w:r>
        <w:t xml:space="preserve">sweep under fixed LDA backbone). Code and derived artefacts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work has been partially funded by AMTC Basal</w:t>
      </w:r>
      <w:r>
        <w:t xml:space="preserve"> </w:t>
      </w:r>
      <w:r>
        <w:t xml:space="preserve">(ANID/PIA AFB220002) and 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df" /><Relationship Type="http://schemas.openxmlformats.org/officeDocument/2006/relationships/image" Id="rId23" Target="media/rId23.pdf" /><Relationship Type="http://schemas.openxmlformats.org/officeDocument/2006/relationships/image" Id="rId43" Target="media/rId43.pdf" /><Relationship Type="http://schemas.openxmlformats.org/officeDocument/2006/relationships/image" Id="rId39" Target="media/rId39.pdf" /><Relationship Type="http://schemas.openxmlformats.org/officeDocument/2006/relationships/hyperlink" Id="rId51" Target="https://doi.org/10.1162/tacl_a_00325" TargetMode="External" /><Relationship Type="http://schemas.openxmlformats.org/officeDocument/2006/relationships/hyperlink" Id="rId57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55" Target="https://openreview.net/forum?id=BybtVK9lg" TargetMode="External" /><Relationship Type="http://schemas.openxmlformats.org/officeDocument/2006/relationships/hyperlink" Id="rId53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162/tacl_a_00325" TargetMode="External" /><Relationship Type="http://schemas.openxmlformats.org/officeDocument/2006/relationships/hyperlink" Id="rId57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55" Target="https://openreview.net/forum?id=BybtVK9lg" TargetMode="External" /><Relationship Type="http://schemas.openxmlformats.org/officeDocument/2006/relationships/hyperlink" Id="rId53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Which Backbone Picks Which Wordification? A Factorial Study of Topic-Model Families on Hyperspectral Imagery</dc:title>
  <dc:creator>Felipe Santibáñez-Leal,    </dc:creator>
  <cp:keywords/>
  <dcterms:created xsi:type="dcterms:W3CDTF">2026-06-01T00:02:40Z</dcterms:created>
  <dcterms:modified xsi:type="dcterms:W3CDTF">2026-06-01T00:02:40Z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