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 Supplementary G — Limitations and threats to validity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Beyond Accuracy</w:t>
      </w:r>
      <w:r>
        <w:t xml:space="preserve"> </w:t>
      </w:r>
      <w:r>
        <w:t xml:space="preserve">(Section VII)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enumerates the limitations and threats to validity</w:t>
      </w:r>
      <w:r>
        <w:t xml:space="preserve"> </w:t>
      </w:r>
      <w:r>
        <w:t xml:space="preserve">of the twelve-axis framework at greater depth than journal Section</w:t>
      </w:r>
      <w:r>
        <w:t xml:space="preserve"> </w:t>
      </w:r>
      <w:r>
        <w:t xml:space="preserve">VII admits. We organise them as (a) design-time constraints baked</w:t>
      </w:r>
      <w:r>
        <w:t xml:space="preserve"> </w:t>
      </w:r>
      <w:r>
        <w:t xml:space="preserve">into the framework, (b) empirical caveats specific to the present</w:t>
      </w:r>
      <w:r>
        <w:t xml:space="preserve"> </w:t>
      </w:r>
      <w:r>
        <w:t xml:space="preserve">benchmark set, (c) statistical caveats around the inference, and</w:t>
      </w:r>
      <w:r>
        <w:t xml:space="preserve"> </w:t>
      </w:r>
      <w:r>
        <w:t xml:space="preserve">(d) reporting choices that may need revision in follow-up work.</w:t>
      </w:r>
    </w:p>
    <w:bookmarkEnd w:id="9"/>
    <w:bookmarkStart w:id="14" w:name="design-time-constraints"/>
    <w:p>
      <w:pPr>
        <w:pStyle w:val="Heading1"/>
      </w:pPr>
      <w:r>
        <w:t xml:space="preserve">Design-time constraints</w:t>
      </w:r>
    </w:p>
    <w:bookmarkStart w:id="10" w:name="canonical-k-is-held-fixed-within-an-axis"/>
    <w:p>
      <w:pPr>
        <w:pStyle w:val="Heading2"/>
      </w:pPr>
      <w:r>
        <w:t xml:space="preserve">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held fixed within an axis</w:t>
      </w:r>
    </w:p>
    <w:p>
      <w:pPr>
        <w:pStyle w:val="FirstParagraph"/>
      </w:pPr>
      <w:r>
        <w:t xml:space="preserve">Every axis is computed at the canonical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classes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except for F-4 (capacity sweep). This is by</w:t>
      </w:r>
      <w:r>
        <w:t xml:space="preserve"> </w:t>
      </w:r>
      <w:r>
        <w:t xml:space="preserve">design: changing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axes would introduce a second degree of</w:t>
      </w:r>
      <w:r>
        <w:t xml:space="preserve"> </w:t>
      </w:r>
      <w:r>
        <w:t xml:space="preserve">freedom that mixes with the axis-specific perturbation</w:t>
      </w:r>
      <w:r>
        <w:t xml:space="preserve"> </w:t>
      </w:r>
      <w:r>
        <w:t xml:space="preserve">(seed / band / preprocessing / scene). The trade-off is that the</w:t>
      </w:r>
      <w:r>
        <w:t xml:space="preserve"> </w:t>
      </w:r>
      <w:r>
        <w:t xml:space="preserve">per-axis numbers depend on a non-trivially chosen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 a future</w:t>
      </w:r>
      <w:r>
        <w:t xml:space="preserve"> </w:t>
      </w:r>
      <w:r>
        <w:t xml:space="preserve">paper may want to vary; the framework admits per-axis</w:t>
      </w:r>
      <w:r>
        <w:t xml:space="preserve"> </w:t>
      </w:r>
      <m:oMath>
        <m:r>
          <m:t>K</m:t>
        </m:r>
      </m:oMath>
      <w:r>
        <w:t xml:space="preserve">-sweeps as</w:t>
      </w:r>
      <w:r>
        <w:t xml:space="preserve"> </w:t>
      </w:r>
      <w:r>
        <w:t xml:space="preserve">a forward-compatible extension without redesign.</w:t>
      </w:r>
    </w:p>
    <w:bookmarkEnd w:id="10"/>
    <w:bookmarkStart w:id="11" w:name="uniform-tokenisation-across-scenes"/>
    <w:p>
      <w:pPr>
        <w:pStyle w:val="Heading2"/>
      </w:pPr>
      <w:r>
        <w:t xml:space="preserve">Uniform tokenisation across scenes</w:t>
      </w:r>
    </w:p>
    <w:p>
      <w:pPr>
        <w:pStyle w:val="FirstParagraph"/>
      </w:pP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quantisation levels is fixed across scenes. Scenes with</w:t>
      </w:r>
      <w:r>
        <w:t xml:space="preserve"> </w:t>
      </w:r>
      <w:r>
        <w:t xml:space="preserve">narrow spectral dynamic range (Pavia U, ROSIS, 8-bit per band) and</w:t>
      </w:r>
      <w:r>
        <w:t xml:space="preserve"> </w:t>
      </w:r>
      <w:r>
        <w:t xml:space="preserve">wide dynamic range (AVIRIS, 12-bit) are tokenised at the same</w:t>
      </w:r>
      <w:r>
        <w:t xml:space="preserve"> </w:t>
      </w:r>
      <w:r>
        <w:t xml:space="preserve">resolution, which may waste resolution on the narrow-range scenes.</w:t>
      </w:r>
      <w:r>
        <w:t xml:space="preserve"> </w:t>
      </w:r>
      <w:r>
        <w:t xml:space="preserve">A future paper exploring per-scene adaptive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should re-run all</w:t>
      </w:r>
      <w:r>
        <w:t xml:space="preserve"> </w:t>
      </w:r>
      <w:r>
        <w:t xml:space="preserve">axes; the framework will automatically pick up the new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</w:t>
      </w:r>
      <w:r>
        <w:t xml:space="preserve"> </w:t>
      </w:r>
      <w:r>
        <w:t xml:space="preserve">canonical-fit hyperparameter slate.</w:t>
      </w:r>
    </w:p>
    <w:bookmarkEnd w:id="11"/>
    <w:bookmarkStart w:id="12" w:name="hyperparameters-alpha-eta-held-fixed"/>
    <w:p>
      <w:pPr>
        <w:pStyle w:val="Heading2"/>
      </w:pPr>
      <w:r>
        <w:t xml:space="preserve">Hyperparameters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held fixed</w:t>
      </w:r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0.45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t xml:space="preserve">across all fits. These are scikit-learn</w:t>
      </w:r>
      <w:r>
        <w:t xml:space="preserve"> </w:t>
      </w:r>
      <w:r>
        <w:t xml:space="preserve">LDA defaults that we have not tuned per scene. The companion code</w:t>
      </w:r>
      <w:r>
        <w:t xml:space="preserve"> </w:t>
      </w:r>
      <w:r>
        <w:t xml:space="preserve">repository runs a hyperparameter grid in</w:t>
      </w:r>
      <w:r>
        <w:t xml:space="preserve"> </w:t>
      </w:r>
      <w:r>
        <w:rPr>
          <w:rStyle w:val="VerbatimChar"/>
        </w:rPr>
        <w:t xml:space="preserve">lda_hyperparam_search/</w:t>
      </w:r>
      <w:r>
        <w:t xml:space="preserve"> </w:t>
      </w:r>
      <w:r>
        <w:t xml:space="preserve">for reference but the framework’s</w:t>
      </w:r>
      <w:r>
        <w:t xml:space="preserve"> </w:t>
      </w:r>
      <w:r>
        <w:t xml:space="preserve">canonical fit deliberately fixes the slate to keep cross-axis</w:t>
      </w:r>
      <w:r>
        <w:t xml:space="preserve"> </w:t>
      </w:r>
      <w:r>
        <w:t xml:space="preserve">comparisons clean.</w:t>
      </w:r>
    </w:p>
    <w:bookmarkEnd w:id="12"/>
    <w:bookmarkStart w:id="13" w:name="stratified-220-per-class-sampling"/>
    <w:p>
      <w:pPr>
        <w:pStyle w:val="Heading2"/>
      </w:pPr>
      <w:r>
        <w:t xml:space="preserve">Stratified 220-per-class sampling</w:t>
      </w:r>
    </w:p>
    <w:p>
      <w:pPr>
        <w:pStyle w:val="FirstParagraph"/>
      </w:pPr>
      <w:r>
        <w:t xml:space="preserve">The canonical fit samples 220 pixels per admissible class without</w:t>
      </w:r>
      <w:r>
        <w:t xml:space="preserve"> </w:t>
      </w:r>
      <w:r>
        <w:t xml:space="preserve">replacement. This caps the per-class effective budget regardless of</w:t>
      </w:r>
      <w:r>
        <w:t xml:space="preserve"> </w:t>
      </w:r>
      <w:r>
        <w:t xml:space="preserve">how many labelled pixels a class actually has. Classes with very few</w:t>
      </w:r>
      <w:r>
        <w:t xml:space="preserve"> </w:t>
      </w:r>
      <w:r>
        <w:t xml:space="preserve">labelled pixels (alfalfa on Indian Pines, oats) are dropped from the</w:t>
      </w:r>
      <w:r>
        <w:t xml:space="preserve"> </w:t>
      </w:r>
      <w:r>
        <w:t xml:space="preserve">canonical fit on the standard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</m:oMath>
      <w:r>
        <w:t xml:space="preserve">-pixel admissibility test.</w:t>
      </w:r>
      <w:r>
        <w:t xml:space="preserve"> </w:t>
      </w:r>
      <w:r>
        <w:t xml:space="preserve">The framework reports the admissibility decisions in the per-scene</w:t>
      </w:r>
      <w:r>
        <w:t xml:space="preserve"> </w:t>
      </w:r>
      <w:r>
        <w:t xml:space="preserve">JSON metadata.</w:t>
      </w:r>
    </w:p>
    <w:bookmarkEnd w:id="13"/>
    <w:bookmarkEnd w:id="14"/>
    <w:bookmarkStart w:id="19" w:name="X2c9226c358969d4a321a88d0cf49042eee80da9"/>
    <w:p>
      <w:pPr>
        <w:pStyle w:val="Heading1"/>
      </w:pPr>
      <w:r>
        <w:t xml:space="preserve">Empirical caveats specific to the benchmark set</w:t>
      </w:r>
    </w:p>
    <w:bookmarkStart w:id="15" w:name="X7437334661689f2b4ef2bb599559fc526767fc3"/>
    <w:p>
      <w:pPr>
        <w:pStyle w:val="Heading2"/>
      </w:pPr>
      <w:r>
        <w:t xml:space="preserve">Indian Pines is small and class-imbalanced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145</m:t>
        </m:r>
        <m:r>
          <m:rPr>
            <m:sty m:val="p"/>
          </m:rPr>
          <m:t>×</m:t>
        </m:r>
        <m:r>
          <m:t>145</m:t>
        </m:r>
      </m:oMath>
      <w:r>
        <w:t xml:space="preserve"> </w:t>
      </w:r>
      <w:r>
        <w:t xml:space="preserve">with 16 classes and a long tail (some classes have</w:t>
      </w:r>
      <w:r>
        <w:t xml:space="preserve"> </w:t>
      </w:r>
      <w:r>
        <w:t xml:space="preserve">&lt; 100 labelled pixels), Indian Pines is the smallest of the six</w:t>
      </w:r>
      <w:r>
        <w:t xml:space="preserve"> </w:t>
      </w:r>
      <w:r>
        <w:t xml:space="preserve">labelled scenes. The per-axis numbers on Indian Pines should be</w:t>
      </w:r>
      <w:r>
        <w:t xml:space="preserve"> </w:t>
      </w:r>
      <w:r>
        <w:t xml:space="preserve">treated with proportionate caution.</w:t>
      </w:r>
    </w:p>
    <w:bookmarkEnd w:id="15"/>
    <w:bookmarkStart w:id="16" w:name="salinas-a-is-a-subset-of-salinas"/>
    <w:p>
      <w:pPr>
        <w:pStyle w:val="Heading2"/>
      </w:pPr>
      <w:r>
        <w:t xml:space="preserve">Salinas-A is a subset of Salinas</w:t>
      </w:r>
    </w:p>
    <w:p>
      <w:pPr>
        <w:pStyle w:val="FirstParagraph"/>
      </w:pPr>
      <w:r>
        <w:t xml:space="preserve">Salinas-A’s six classes are a strict subset of Salinas’s sixteen,</w:t>
      </w:r>
      <w:r>
        <w:t xml:space="preserve"> </w:t>
      </w:r>
      <w:r>
        <w:t xml:space="preserve">and the spatial footprint of Salinas-A is a contiguous rectangle</w:t>
      </w:r>
      <w:r>
        <w:t xml:space="preserve"> </w:t>
      </w:r>
      <w:r>
        <w:t xml:space="preserve">within Salinas. Numbers across these two</w:t>
      </w:r>
      <w:r>
        <w:t xml:space="preserve"> </w:t>
      </w:r>
      <w:r>
        <w:t xml:space="preserve">“scenes”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independent. A future paper may report only one of the</w:t>
      </w:r>
      <w:r>
        <w:t xml:space="preserve"> </w:t>
      </w:r>
      <w:r>
        <w:t xml:space="preserve">two; we report both because the band-mask diagnostic surfaces a</w:t>
      </w:r>
      <w:r>
        <w:t xml:space="preserve"> </w:t>
      </w:r>
      <w:r>
        <w:t xml:space="preserve">qualitatively different finding on Salinas-A (SWIR-only paired ARI</w:t>
      </w:r>
      <w:r>
        <w:t xml:space="preserve"> </w:t>
      </w:r>
      <m:oMath>
        <m:r>
          <m:rPr>
            <m:sty m:val="p"/>
          </m:rPr>
          <m:t>=</m:t>
        </m:r>
        <m:r>
          <m:t>0.766</m:t>
        </m:r>
      </m:oMath>
      <w:r>
        <w:t xml:space="preserve">) than on Salinas (SWIR-only paired ARI</w:t>
      </w:r>
      <w:r>
        <w:t xml:space="preserve"> </w:t>
      </w:r>
      <m:oMath>
        <m:r>
          <m:rPr>
            <m:sty m:val="p"/>
          </m:rPr>
          <m:t>=</m:t>
        </m:r>
        <m:r>
          <m:t>0.435</m:t>
        </m:r>
      </m:oMath>
      <w:r>
        <w:t xml:space="preserve">), and</w:t>
      </w:r>
      <w:r>
        <w:t xml:space="preserve"> </w:t>
      </w:r>
      <w:r>
        <w:t xml:space="preserve">the contrast is itself a finding.</w:t>
      </w:r>
    </w:p>
    <w:bookmarkEnd w:id="16"/>
    <w:bookmarkStart w:id="17" w:name="pavia-u-is-vnir-only-by-sensor-design"/>
    <w:p>
      <w:pPr>
        <w:pStyle w:val="Heading2"/>
      </w:pPr>
      <w:r>
        <w:t xml:space="preserve">Pavia U is VNIR-only by sensor design</w:t>
      </w:r>
    </w:p>
    <w:p>
      <w:pPr>
        <w:pStyle w:val="FirstParagraph"/>
      </w:pPr>
      <w:r>
        <w:t xml:space="preserve">The ROSIS-03 sensor on Pavia U covers 430–860 nm, which is entirely</w:t>
      </w:r>
      <w:r>
        <w:t xml:space="preserve"> </w:t>
      </w:r>
      <w:r>
        <w:t xml:space="preserve">VNIR. The SWIR mask consequently retains 0 bands and is</w:t>
      </w:r>
      <w:r>
        <w:t xml:space="preserve"> </w:t>
      </w:r>
      <w:r>
        <w:t xml:space="preserve">auto-skipped. The no-water mask is a no-op on Pavia U (no bands</w:t>
      </w:r>
      <w:r>
        <w:t xml:space="preserve"> </w:t>
      </w:r>
      <w:r>
        <w:t xml:space="preserve">fall in the water-vapour ranges) and produces the same paired ARI as</w:t>
      </w:r>
      <w:r>
        <w:t xml:space="preserve"> </w:t>
      </w:r>
      <w:r>
        <w:t xml:space="preserve">the VNIR mask. These artefacts are recorded transparently in the</w:t>
      </w:r>
      <w:r>
        <w:t xml:space="preserve"> </w:t>
      </w:r>
      <w:r>
        <w:t xml:space="preserve">per-(scene, mask) JSON outputs.</w:t>
      </w:r>
    </w:p>
    <w:bookmarkEnd w:id="17"/>
    <w:bookmarkStart w:id="18" w:name="X80cf1b11be170dc9317699ac99bc4598835bd76"/>
    <w:p>
      <w:pPr>
        <w:pStyle w:val="Heading2"/>
      </w:pPr>
      <w:r>
        <w:t xml:space="preserve">Botswana and KSC have wetland-dominant land cover</w:t>
      </w:r>
    </w:p>
    <w:p>
      <w:pPr>
        <w:pStyle w:val="FirstParagraph"/>
      </w:pPr>
      <w:r>
        <w:t xml:space="preserve">The two scenes that consistently appear in the band-fragile regime</w:t>
      </w:r>
      <w:r>
        <w:t xml:space="preserve"> </w:t>
      </w:r>
      <w:r>
        <w:t xml:space="preserve">share a wetland-dominant land cover. Whether band-fragility is a</w:t>
      </w:r>
      <w:r>
        <w:t xml:space="preserve"> </w:t>
      </w:r>
      <w:r>
        <w:t xml:space="preserve">property of the LDA fit on these scenes, of the canonical</w:t>
      </w:r>
      <w:r>
        <w:t xml:space="preserve"> </w:t>
      </w:r>
      <w:r>
        <w:t xml:space="preserve">hyperparameter slate, or of the wetland-spectral-signature itself is</w:t>
      </w:r>
      <w:r>
        <w:t xml:space="preserve"> </w:t>
      </w:r>
      <w:r>
        <w:t xml:space="preserve">not resolvable from the present data; we flag the open question.</w:t>
      </w:r>
    </w:p>
    <w:bookmarkEnd w:id="18"/>
    <w:bookmarkEnd w:id="19"/>
    <w:bookmarkStart w:id="24" w:name="statistical-caveats"/>
    <w:p>
      <w:pPr>
        <w:pStyle w:val="Heading1"/>
      </w:pPr>
      <w:r>
        <w:t xml:space="preserve">Statistical caveats</w:t>
      </w:r>
    </w:p>
    <w:bookmarkStart w:id="20" w:name="X42572da9191e312bc8cd0eedfcc77f26b056023"/>
    <w:p>
      <w:pPr>
        <w:pStyle w:val="Heading2"/>
      </w:pPr>
      <w:r>
        <w:t xml:space="preserve">Hierarchical Bayesian model assumes Gaussian residuals</w:t>
      </w:r>
    </w:p>
    <w:p>
      <w:pPr>
        <w:pStyle w:val="FirstParagraph"/>
      </w:pPr>
      <w:r>
        <w:t xml:space="preserve">The F-1 likelihood</w:t>
      </w:r>
      <w:r>
        <w:t xml:space="preserve"> </w:t>
      </w:r>
      <m:oMath>
        <m:sSub>
          <m:e>
            <m:r>
              <m:t>ϵ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standard</w:t>
      </w:r>
      <w:r>
        <w:t xml:space="preserve"> </w:t>
      </w:r>
      <w:r>
        <w:t xml:space="preserve">working assumption for OA-scaled residuals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On the</w:t>
      </w:r>
      <w:r>
        <w:t xml:space="preserve"> </w:t>
      </w:r>
      <w:r>
        <w:t xml:space="preserve">present benchmarks the residuals are not visibly non-Gaussian (no</w:t>
      </w:r>
      <w:r>
        <w:t xml:space="preserve"> </w:t>
      </w:r>
      <w:r>
        <w:t xml:space="preserve">heavy tails, no bimodality observed in the posterior predictive)</w:t>
      </w:r>
      <w:r>
        <w:t xml:space="preserve"> </w:t>
      </w:r>
      <w:r>
        <w:t xml:space="preserve">but a Student-</w:t>
      </w:r>
      <m:oMath>
        <m:r>
          <m:t>t</m:t>
        </m:r>
      </m:oMath>
      <w:r>
        <w:t xml:space="preserve"> </w:t>
      </w:r>
      <w:r>
        <w:t xml:space="preserve">alternative may be appropriate on a benchmark set</w:t>
      </w:r>
      <w:r>
        <w:t xml:space="preserve"> </w:t>
      </w:r>
      <w:r>
        <w:t xml:space="preserve">with a strong outlier.</w:t>
      </w:r>
    </w:p>
    <w:bookmarkEnd w:id="20"/>
    <w:bookmarkStart w:id="21" w:name="pairwise-pa-b-multiplicity-correction"/>
    <w:p>
      <w:pPr>
        <w:pStyle w:val="Heading2"/>
      </w:pPr>
      <w:r>
        <w:t xml:space="preserve">Pairwise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multiplicity correction</w:t>
      </w:r>
    </w:p>
    <w:p>
      <w:pPr>
        <w:pStyle w:val="FirstParagraph"/>
      </w:pPr>
      <w:r>
        <w:t xml:space="preserve">On 5 methods there are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ordered pairs; without</w:t>
      </w:r>
      <w:r>
        <w:t xml:space="preserve"> </w:t>
      </w:r>
      <w:r>
        <w:t xml:space="preserve">correction the family-wise error rate inflates with the number of</w:t>
      </w:r>
      <w:r>
        <w:t xml:space="preserve"> </w:t>
      </w:r>
      <w:r>
        <w:t xml:space="preserve">implicit comparisons in the reader’s interpretation. We adopt a</w:t>
      </w:r>
      <w:r>
        <w:t xml:space="preserve"> </w:t>
      </w:r>
      <w:r>
        <w:rPr>
          <w:b/>
          <w:bCs/>
        </w:rPr>
        <w:t xml:space="preserve">Bayesian-FDR-style</w:t>
      </w:r>
      <w:r>
        <w:t xml:space="preserve"> </w:t>
      </w:r>
      <w:r>
        <w:t xml:space="preserve">adjustment: the reported posterior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already factors out scene + fold random effects in the</w:t>
      </w:r>
      <w:r>
        <w:t xml:space="preserve"> </w:t>
      </w:r>
      <w:r>
        <w:t xml:space="preserve">hierarchical model, so the multiplicity correction reduces to</w:t>
      </w:r>
      <w:r>
        <w:t xml:space="preserve"> </w:t>
      </w:r>
      <w:r>
        <w:t xml:space="preserve">discounting the small marginal posterior tails. Bonferroni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on 20 ordered pairs requires a per-pair threshold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0.9975</m:t>
        </m:r>
      </m:oMath>
      <w:r>
        <w:t xml:space="preserve"> </w:t>
      </w:r>
      <w:r>
        <w:t xml:space="preserve">for "significant"; we report the raw probabilities</w:t>
      </w:r>
      <w:r>
        <w:t xml:space="preserve"> </w:t>
      </w:r>
      <w:r>
        <w:t xml:space="preserve">and let the reader apply that threshold. Our headline finding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rPr>
            <m:nor/>
            <m:sty m:val="p"/>
          </m:rPr>
          <m:t>topic_routed_soft</m:t>
        </m:r>
        <m:r>
          <m:rPr>
            <m:sty m:val="p"/>
          </m:rPr>
          <m:t>&gt;</m:t>
        </m:r>
        <m:r>
          <m:rPr>
            <m:nor/>
            <m:sty m:val="p"/>
          </m:rPr>
          <m:t>raw_logistic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0.641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significant under either Bonferroni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an uncorrected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on a one-sided test; we state it</w:t>
      </w:r>
      <w:r>
        <w:t xml:space="preserve"> </w:t>
      </w:r>
      <w:r>
        <w:t xml:space="preserve">explicitly in the main paper as "statistically indistinguishable"</w:t>
      </w:r>
      <w:r>
        <w:t xml:space="preserve"> </w:t>
      </w:r>
      <w:r>
        <w:t xml:space="preserve">rather than "topic-routed-soft beats raw-logistic". The HIDSAG</w:t>
      </w:r>
      <w:r>
        <w:t xml:space="preserve"> </w:t>
      </w:r>
      <w:r>
        <w:t xml:space="preserve">inversion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rPr>
            <m:nor/>
            <m:sty m:val="p"/>
          </m:rPr>
          <m:t>topic_logistic</m:t>
        </m:r>
        <m:r>
          <m:rPr>
            <m:sty m:val="p"/>
          </m:rPr>
          <m:t>&gt;</m:t>
        </m:r>
        <m:r>
          <m:rPr>
            <m:nor/>
            <m:sty m:val="p"/>
          </m:rPr>
          <m:t>raw_logistic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significant under any reasonable correction.</w:t>
      </w:r>
    </w:p>
    <w:bookmarkEnd w:id="21"/>
    <w:bookmarkStart w:id="22" w:name="Xadec8675b00de080adbff10cfca1c488e3b3418"/>
    <w:p>
      <w:pPr>
        <w:pStyle w:val="Heading2"/>
      </w:pPr>
      <w:r>
        <w:t xml:space="preserve">Seed-stability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small for multi-modal posteriors</w:t>
      </w:r>
    </w:p>
    <w:p>
      <w:pPr>
        <w:pStyle w:val="FirstParagraph"/>
      </w:pPr>
      <w:r>
        <w:t xml:space="preserve">The within-method standard deviation across 5 seeds is below 0.03 on</w:t>
      </w:r>
      <w:r>
        <w:t xml:space="preserve"> </w:t>
      </w:r>
      <w:r>
        <w:t xml:space="preserve">all reported cells, suggesting a unimodal posterior on the present</w:t>
      </w:r>
      <w:r>
        <w:t xml:space="preserve"> </w:t>
      </w:r>
      <w:r>
        <w:t xml:space="preserve">benchmarks. KSC and Botswana, on which the canonical basis appears</w:t>
      </w:r>
      <w:r>
        <w:t xml:space="preserve"> </w:t>
      </w:r>
      <w:r>
        <w:t xml:space="preserve">weakly identified, may have multi-modal posteriors that the 5-seed</w:t>
      </w:r>
      <w:r>
        <w:t xml:space="preserve"> </w:t>
      </w:r>
      <w:r>
        <w:t xml:space="preserve">budget would not reveal. The companion code repository’s</w:t>
      </w:r>
      <w:r>
        <w:t xml:space="preserve"> </w:t>
      </w:r>
      <w:r>
        <w:rPr>
          <w:rStyle w:val="VerbatimChar"/>
        </w:rPr>
        <w:t xml:space="preserve">deep_seed_stability/</w:t>
      </w:r>
      <w:r>
        <w:t xml:space="preserve"> </w:t>
      </w:r>
      <w:r>
        <w:t xml:space="preserve">block runs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seeds; the</w:t>
      </w:r>
      <w:r>
        <w:t xml:space="preserve"> </w:t>
      </w:r>
      <w:r>
        <w:t xml:space="preserve">framework’s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choice is for parsimony with an explicit upgrade</w:t>
      </w:r>
      <w:r>
        <w:t xml:space="preserve"> </w:t>
      </w:r>
      <w:r>
        <w:t xml:space="preserve">path.</w:t>
      </w:r>
    </w:p>
    <w:bookmarkEnd w:id="22"/>
    <w:bookmarkStart w:id="23" w:name="X894bd5e60081e3d00fd06990207bf4b9bed16de"/>
    <w:p>
      <w:pPr>
        <w:pStyle w:val="Heading2"/>
      </w:pP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co-occurrence statistics are computed on the same</w:t>
      </w:r>
      <w:r>
        <w:t xml:space="preserve"> </w:t>
      </w:r>
      <w:r>
        <w:t xml:space="preserve">corpus</w:t>
      </w:r>
    </w:p>
    <w:p>
      <w:pPr>
        <w:pStyle w:val="FirstParagraph"/>
      </w:pPr>
      <w:r>
        <w:t xml:space="preserve">The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reference corpus for the co-occurrence count is the</w:t>
      </w:r>
      <w:r>
        <w:t xml:space="preserve"> </w:t>
      </w:r>
      <w:r>
        <w:t xml:space="preserve">canonical document-term matrix of the same scene. Computing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t xml:space="preserve">an external reference corpus (a published HSI library, for example)</w:t>
      </w:r>
      <w:r>
        <w:t xml:space="preserve"> </w:t>
      </w:r>
      <w:r>
        <w:t xml:space="preserve">would yield a different number and is a worthwhile follow-up.</w:t>
      </w:r>
    </w:p>
    <w:bookmarkEnd w:id="23"/>
    <w:bookmarkEnd w:id="24"/>
    <w:bookmarkStart w:id="28" w:name="reporting-choices"/>
    <w:p>
      <w:pPr>
        <w:pStyle w:val="Heading1"/>
      </w:pPr>
      <w:r>
        <w:t xml:space="preserve">Reporting choices</w:t>
      </w:r>
    </w:p>
    <w:bookmarkStart w:id="25" w:name="per-axis-json-over-a-single-combined-csv"/>
    <w:p>
      <w:pPr>
        <w:pStyle w:val="Heading2"/>
      </w:pPr>
      <w:r>
        <w:t xml:space="preserve">Per-axis JSON over a single combined CSV</w:t>
      </w:r>
    </w:p>
    <w:p>
      <w:pPr>
        <w:pStyle w:val="FirstParagraph"/>
      </w:pPr>
      <w:r>
        <w:t xml:space="preserve">The framework ships one JSON per axis per scene rather than a single</w:t>
      </w:r>
      <w:r>
        <w:t xml:space="preserve"> </w:t>
      </w:r>
      <w:r>
        <w:t xml:space="preserve">combined CSV. This is by design (clean separation of provenance) but</w:t>
      </w:r>
      <w:r>
        <w:t xml:space="preserve"> </w:t>
      </w:r>
      <w:r>
        <w:t xml:space="preserve">creates a slight friction for follow-up analysis that wants to</w:t>
      </w:r>
      <w:r>
        <w:t xml:space="preserve"> </w:t>
      </w:r>
      <w:r>
        <w:t xml:space="preserve">join across axes. The companion code repository provides a</w:t>
      </w:r>
      <w:r>
        <w:t xml:space="preserve"> </w:t>
      </w:r>
      <w:r>
        <w:rPr>
          <w:rStyle w:val="VerbatimChar"/>
        </w:rPr>
        <w:t xml:space="preserve">manifests/</w:t>
      </w:r>
      <w:r>
        <w:t xml:space="preserve"> </w:t>
      </w:r>
      <w:r>
        <w:t xml:space="preserve">index that lists every artefact path and its</w:t>
      </w:r>
      <w:r>
        <w:t xml:space="preserve"> </w:t>
      </w:r>
      <w:r>
        <w:t xml:space="preserve">schema, intended for join-on-load workflows.</w:t>
      </w:r>
    </w:p>
    <w:bookmarkEnd w:id="25"/>
    <w:bookmarkStart w:id="26" w:name="figure-choices-in-the-main-paper"/>
    <w:p>
      <w:pPr>
        <w:pStyle w:val="Heading2"/>
      </w:pPr>
      <w:r>
        <w:t xml:space="preserve">Figure choices in the main paper</w:t>
      </w:r>
    </w:p>
    <w:p>
      <w:pPr>
        <w:pStyle w:val="FirstParagraph"/>
      </w:pPr>
      <w:r>
        <w:t xml:space="preserve">The journal main paper carries 4 figures (paired ARI heatmap,</w:t>
      </w:r>
      <w:r>
        <w:t xml:space="preserve"> </w:t>
      </w:r>
      <w:r>
        <w:t xml:space="preserve">Hungarian alignment, Bayesian forest plot, basis spectra grid). The</w:t>
      </w:r>
      <w:r>
        <w:t xml:space="preserve"> </w:t>
      </w:r>
      <w:r>
        <w:t xml:space="preserve">supplement carries the remaining 5 (coherence-vs-ARI, seed-stability</w:t>
      </w:r>
      <w:r>
        <w:t xml:space="preserve"> </w:t>
      </w:r>
      <w:r>
        <w:t xml:space="preserve">swarm, capacity sweep, cross-method 8x8 grid, HIDSAG band-mask). The</w:t>
      </w:r>
      <w:r>
        <w:t xml:space="preserve"> </w:t>
      </w:r>
      <w:r>
        <w:t xml:space="preserve">split reflects journal-section relevance, not figure quality</w:t>
      </w:r>
      <w:r>
        <w:t xml:space="preserve"> </w:t>
      </w:r>
      <w:r>
        <w:t xml:space="preserve">ordering.</w:t>
      </w:r>
    </w:p>
    <w:bookmarkEnd w:id="26"/>
    <w:bookmarkStart w:id="27" w:name="X5cba180845cc41a01a95c63242fe4c2fedf4727"/>
    <w:p>
      <w:pPr>
        <w:pStyle w:val="Heading2"/>
      </w:pPr>
      <w:r>
        <w:t xml:space="preserve">No statistical significance test for paired ARI</w:t>
      </w:r>
    </w:p>
    <w:p>
      <w:pPr>
        <w:pStyle w:val="FirstParagraph"/>
      </w:pPr>
      <w:r>
        <w:t xml:space="preserve">Paired ARI does not carry a built-in significance threshold. We do</w:t>
      </w:r>
      <w:r>
        <w:t xml:space="preserve"> </w:t>
      </w:r>
      <w:r>
        <w:t xml:space="preserve">not compute permutation-test</w:t>
      </w:r>
      <w:r>
        <w:t xml:space="preserve"> </w:t>
      </w:r>
      <m:oMath>
        <m:r>
          <m:t>p</m:t>
        </m:r>
      </m:oMath>
      <w:r>
        <w:t xml:space="preserve">-values per (scene, mask) tuple</w:t>
      </w:r>
      <w:r>
        <w:t xml:space="preserve"> </w:t>
      </w:r>
      <w:r>
        <w:t xml:space="preserve">because the test is computationally expensive on</w:t>
      </w:r>
      <w:r>
        <w:t xml:space="preserve"> </w:t>
      </w:r>
      <m:oMath>
        <m:r>
          <m:t>D</m:t>
        </m:r>
        <m:r>
          <m:rPr>
            <m:sty m:val="p"/>
          </m:rPr>
          <m:t>∼</m:t>
        </m:r>
        <m:r>
          <m:t>3000</m:t>
        </m:r>
      </m:oMath>
      <w:r>
        <w:t xml:space="preserve"> </w:t>
      </w:r>
      <w:r>
        <w:t xml:space="preserve">pixels and the framework’s per-(scene, mask) values are already</w:t>
      </w:r>
      <w:r>
        <w:t xml:space="preserve"> </w:t>
      </w:r>
      <w:r>
        <w:t xml:space="preserve">extreme (paired ARI</w:t>
      </w:r>
      <w:r>
        <w:t xml:space="preserve"> </w:t>
      </w:r>
      <m:oMath>
        <m:r>
          <m:rPr>
            <m:sty m:val="p"/>
          </m:rPr>
          <m:t>≈</m:t>
        </m:r>
        <m:r>
          <m:t>0.01</m:t>
        </m:r>
      </m:oMath>
      <w:r>
        <w:t xml:space="preserve"> </w:t>
      </w:r>
      <w:r>
        <w:t xml:space="preserve">on KSC vs</w:t>
      </w:r>
      <w:r>
        <w:t xml:space="preserve"> </w:t>
      </w:r>
      <m:oMath>
        <m:r>
          <m:t>0.77</m:t>
        </m:r>
      </m:oMath>
      <w:r>
        <w:t xml:space="preserve"> </w:t>
      </w:r>
      <w:r>
        <w:t xml:space="preserve">on Salinas-A</w:t>
      </w:r>
      <w:r>
        <w:t xml:space="preserve"> </w:t>
      </w:r>
      <w:r>
        <w:t xml:space="preserve">SWIR). A future paper applying the framework on a marginal-effect</w:t>
      </w:r>
      <w:r>
        <w:t xml:space="preserve"> </w:t>
      </w:r>
      <w:r>
        <w:t xml:space="preserve">benchmark would benefit from a permutation companion.</w:t>
      </w:r>
    </w:p>
    <w:bookmarkEnd w:id="27"/>
    <w:bookmarkEnd w:id="28"/>
    <w:bookmarkStart w:id="29" w:name="X0883c3feafb93408abe8b47092d1691d00e493f"/>
    <w:p>
      <w:pPr>
        <w:pStyle w:val="Heading1"/>
      </w:pPr>
      <w:r>
        <w:t xml:space="preserve">What we would change in a 2nd-paper redesign</w:t>
      </w:r>
    </w:p>
    <w:p>
      <w:pPr>
        <w:pStyle w:val="FirstParagraph"/>
      </w:pPr>
      <w:r>
        <w:t xml:space="preserve">If we were to redesign the framework from scratch given everything</w:t>
      </w:r>
      <w:r>
        <w:t xml:space="preserve"> </w:t>
      </w:r>
      <w:r>
        <w:t xml:space="preserve">we now know:</w:t>
      </w:r>
    </w:p>
    <w:p>
      <w:pPr>
        <w:numPr>
          <w:ilvl w:val="0"/>
          <w:numId w:val="1001"/>
        </w:numPr>
      </w:pPr>
      <w:r>
        <w:t xml:space="preserve">Move per-axis</w:t>
      </w:r>
      <w:r>
        <w:t xml:space="preserve"> </w:t>
      </w:r>
      <m:oMath>
        <m:r>
          <m:t>K</m:t>
        </m:r>
      </m:oMath>
      <w:r>
        <w:t xml:space="preserve">-sweep from a separate axis (F-4) to a layer</w:t>
      </w:r>
      <w:r>
        <w:t xml:space="preserve"> </w:t>
      </w:r>
      <w:r>
        <w:t xml:space="preserve">that wraps every other axis: report (F-1, F-2, ..., F-12)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at the canonical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only.</w:t>
      </w:r>
    </w:p>
    <w:p>
      <w:pPr>
        <w:numPr>
          <w:ilvl w:val="0"/>
          <w:numId w:val="1001"/>
        </w:numPr>
      </w:pPr>
      <w:r>
        <w:t xml:space="preserve">Replace F-12 (external baseline OA delta) with an</w:t>
      </w:r>
      <w:r>
        <w:t xml:space="preserve"> </w:t>
      </w:r>
      <w:r>
        <w:t xml:space="preserve">internal-comparison axis: compare the canonical topic-routed-soft</w:t>
      </w:r>
      <w:r>
        <w:t xml:space="preserve"> </w:t>
      </w:r>
      <w:r>
        <w:t xml:space="preserve">against a fixed deep baseline trained inside the framework on the</w:t>
      </w:r>
      <w:r>
        <w:t xml:space="preserve"> </w:t>
      </w:r>
      <w:r>
        <w:t xml:space="preserve">same train/test splits. The current external baseline carries the</w:t>
      </w:r>
      <w:r>
        <w:t xml:space="preserve"> </w:t>
      </w:r>
      <w:r>
        <w:t xml:space="preserve">cross-paper-comparison caveat that the deltas are not interpretable</w:t>
      </w:r>
      <w:r>
        <w:t xml:space="preserve"> </w:t>
      </w:r>
      <w:r>
        <w:t xml:space="preserve">without the per-paper split.</w:t>
      </w:r>
    </w:p>
    <w:p>
      <w:pPr>
        <w:numPr>
          <w:ilvl w:val="0"/>
          <w:numId w:val="1001"/>
        </w:numPr>
      </w:pPr>
      <w:r>
        <w:t xml:space="preserve">Add a per-pixel-confidence axis: report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argmax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∣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calibrated against a held-out validation fold. This would expose</w:t>
      </w:r>
      <w:r>
        <w:t xml:space="preserve"> </w:t>
      </w:r>
      <w:r>
        <w:t xml:space="preserve">the calibration of the topic representation directly.</w:t>
      </w:r>
    </w:p>
    <w:p>
      <w:pPr>
        <w:pStyle w:val="FirstParagraph"/>
      </w:pPr>
      <w:r>
        <w:t xml:space="preserve">None of these changes invalidate the present framework; they</w:t>
      </w:r>
      <w:r>
        <w:t xml:space="preserve"> </w:t>
      </w:r>
      <w:r>
        <w:t xml:space="preserve">identify directions for forward-compatible extensions.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Supplementary G — Limitations and threats to validity Companion to: Beyond Accuracy (Section VII)</dc:title>
  <dc:creator>Felipe Santibáñez-Leal</dc:creator>
  <cp:keywords/>
  <dcterms:created xsi:type="dcterms:W3CDTF">2026-05-16T14:01:16Z</dcterms:created>
  <dcterms:modified xsi:type="dcterms:W3CDTF">2026-05-16T14:01:16Z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../../bibliography/refs.bib</vt:lpwstr>
  </property>
  <property fmtid="{D5CDD505-2E9C-101B-9397-08002B2CF9AE}" pid="3" name="date">
    <vt:lpwstr>2026</vt:lpwstr>
  </property>
</Properties>
</file>